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Calibri" w:hAnsi="Calibri" w:cs="Calibri"/>
          <w:b/>
          <w:b/>
          <w:bCs/>
          <w:color w:val="000000" w:themeColor="text1"/>
          <w:sz w:val="28"/>
          <w:szCs w:val="28"/>
        </w:rPr>
      </w:pPr>
      <w:r>
        <w:rPr>
          <w:rFonts w:cs="Calibri" w:ascii="Calibri" w:hAnsi="Calibri"/>
          <w:b/>
          <w:bCs/>
          <w:color w:val="000000" w:themeColor="text1"/>
          <w:sz w:val="28"/>
          <w:szCs w:val="28"/>
        </w:rPr>
        <w:t>COMISSÃO DE LEGISLAÇÃO, JUSTIÇA E REDAÇÃO FINAL</w:t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PARECER</w:t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Assunto: Projeto de Lei Ordinária do Legislativo nº 67 de 2026</w:t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ind w:left="2268" w:hanging="0"/>
        <w:jc w:val="both"/>
        <w:rPr/>
      </w:pPr>
      <w:r>
        <w:rPr>
          <w:rFonts w:cs="Calibri" w:ascii="Calibri" w:hAnsi="Calibri"/>
          <w:b/>
          <w:bCs/>
          <w:color w:val="000000" w:themeColor="text1"/>
        </w:rPr>
        <w:t>EMENTA:</w:t>
      </w:r>
      <w:r>
        <w:rPr>
          <w:rFonts w:cs="Calibri" w:ascii="Calibri" w:hAnsi="Calibri"/>
          <w:color w:val="000000" w:themeColor="text1"/>
        </w:rPr>
        <w:t xml:space="preserve"> PARECER FAVORÁVEL. ANÁLISE DO PROJETO DE LEI ORDINÁRIA DO LEGISLATIVO Nº 67/2026, QUE INSTITUI A POLÍTICA MUNICIPAL DE VALORIZAÇÃO FUNCIONAL, BEM-ESTAR E APOIO ALIMENTAR DESTINADA A PROFESSORES, SERVIDORES ADMINISTRATIVOS, PROFISSIONAIS DE APOIO E DEMAIS COLABORADORES DA REDE PÚBLICA MUNICIPAL DE ENSINO. DIRETRIZES GERAIS DE BEM-ESTAR NO AMBIENTE ESCOLAR. NORMA DE CARÁTER PROGRAMÁTICO E AUTORIZATIVO. EXECUÇÃO CONDICIONADA À COMPETÊNCIA DO PODER EXECUTIVO, À DISPONIBILIDADE ORÇAMENTÁRIA E À LEGISLAÇÃO APLICÁVEL. VEDAÇÃO AO USO IRREGULAR DE RECURSOS DO PNAE. AUSÊNCIA DE ÓBICE JURÍDICO SUFICIENTE À TRAMITAÇÃO.</w:t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numPr>
          <w:ilvl w:val="0"/>
          <w:numId w:val="2"/>
        </w:numPr>
        <w:tabs>
          <w:tab w:val="clear" w:pos="709"/>
        </w:tabs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1. RELATÓRIO</w:t>
      </w:r>
    </w:p>
    <w:p>
      <w:pPr>
        <w:pStyle w:val="Normal"/>
        <w:ind w:firstLine="2268"/>
        <w:jc w:val="both"/>
        <w:rPr/>
      </w:pPr>
      <w:r>
        <w:rPr>
          <w:rFonts w:cs="Calibri" w:ascii="Calibri" w:hAnsi="Calibri"/>
          <w:color w:val="000000" w:themeColor="text1"/>
        </w:rPr>
        <w:t xml:space="preserve">Trata-se de Projeto de Lei Ordinária do Legislativo nº 67/2026, de autoria do Vereador Diogo Gomes de Azevedo Feitosa, que institui a Política Municipal de Valorização Funcional, Bem-Estar e Apoio Alimentar destinada aos professores, servidores administrativos, profissionais de apoio e demais colaboradores em efetivo exercício nas unidades da rede pública municipal de ensino de Vitória da Conquista. </w:t>
      </w:r>
    </w:p>
    <w:p>
      <w:pPr>
        <w:pStyle w:val="Normal"/>
        <w:ind w:firstLine="2268"/>
        <w:jc w:val="both"/>
        <w:rPr/>
      </w:pPr>
      <w:r>
        <w:rPr>
          <w:rFonts w:cs="Calibri" w:ascii="Calibri" w:hAnsi="Calibri"/>
          <w:color w:val="000000" w:themeColor="text1"/>
        </w:rPr>
        <w:t xml:space="preserve">A proposição estabelece diretrizes voltadas à garantia de condições dignas de alimentação e hidratação dos trabalhadores no ambiente escolar, à redução de deslocamentos externos, à melhoria do clima organizacional, da saúde do trabalhador e da eficiência administrativa nas unidades escolares, bem como à adequação gradual de infraestrutura física e espaços multiuso voltados ao bem-estar dos profissionais. </w:t>
      </w:r>
    </w:p>
    <w:p>
      <w:pPr>
        <w:pStyle w:val="Normal"/>
        <w:ind w:firstLine="2268"/>
        <w:jc w:val="both"/>
        <w:rPr/>
      </w:pPr>
      <w:r>
        <w:rPr>
          <w:rFonts w:cs="Calibri" w:ascii="Calibri" w:hAnsi="Calibri"/>
          <w:color w:val="000000" w:themeColor="text1"/>
        </w:rPr>
        <w:t xml:space="preserve">O Projeto prevê que o Poder Executivo poderá autorizar o consumo da alimentação escolar pelos profissionais mencionados, durante sua jornada de trabalho, observados os critérios da legislação aplicável. Também dispõe que o Executivo, observada a disponibilidade orçamentária, poderá implementar gradualmente espaços funcionais nas unidades escolares, como copa funcional, área de convivência, equipamentos básicos para conservação e aquecimento de alimentos e mobiliário adequado para refeições. </w:t>
      </w:r>
    </w:p>
    <w:p>
      <w:pPr>
        <w:pStyle w:val="Normal"/>
        <w:ind w:firstLine="2268"/>
        <w:jc w:val="both"/>
        <w:rPr/>
      </w:pPr>
      <w:r>
        <w:rPr>
          <w:rFonts w:cs="Calibri" w:ascii="Calibri" w:hAnsi="Calibri"/>
          <w:color w:val="000000" w:themeColor="text1"/>
        </w:rPr>
        <w:t>Após a emissão de Parecer Jurídico pela Assessoria Jurídica das Comissões, foi o mesmo encaminhado a esta Comissão para parecer.</w:t>
      </w:r>
    </w:p>
    <w:p>
      <w:pPr>
        <w:pStyle w:val="Normal"/>
        <w:ind w:firstLine="2268"/>
        <w:jc w:val="both"/>
        <w:rPr/>
      </w:pPr>
      <w:r>
        <w:rPr>
          <w:rFonts w:cs="Calibri" w:ascii="Calibri" w:hAnsi="Calibri"/>
          <w:color w:val="000000" w:themeColor="text1"/>
        </w:rPr>
        <w:t>Este é o relatório.</w:t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numPr>
          <w:ilvl w:val="0"/>
          <w:numId w:val="2"/>
        </w:numPr>
        <w:tabs>
          <w:tab w:val="clear" w:pos="709"/>
        </w:tabs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2. FUNDAMENTAÇÃO</w:t>
      </w:r>
    </w:p>
    <w:p>
      <w:pPr>
        <w:pStyle w:val="NoSpacing"/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A matéria objeto do Projeto de Lei Ordinária do Legislativo em análise possui relevância administrativa, educacional e social, pois se relaciona ao bem-estar dos profissionais que atuam nas unidades da rede pública municipal de ensino, à melhoria do ambiente escolar e à valorização dos trabalhadores que integram a rotina das escolas.</w:t>
      </w:r>
    </w:p>
    <w:p>
      <w:pPr>
        <w:pStyle w:val="Normal"/>
        <w:ind w:firstLine="2268"/>
        <w:jc w:val="both"/>
        <w:rPr/>
      </w:pPr>
      <w:r>
        <w:rPr>
          <w:rFonts w:cs="Calibri" w:ascii="Calibri" w:hAnsi="Calibri"/>
          <w:color w:val="000000" w:themeColor="text1"/>
        </w:rPr>
        <w:t>Conforme Parecer Jurídico emitido pela Assessoria Jurídica das Comissões, que passa a integrar o presente parecer, a proposição pode ser compreendida como norma de diretrizes gerais, de caráter programático e autorizativo, voltada à valorização funcional e ao bem-estar no ambiente escolar.</w:t>
      </w:r>
    </w:p>
    <w:p>
      <w:pPr>
        <w:pStyle w:val="Normal"/>
        <w:ind w:firstLine="2268"/>
        <w:jc w:val="both"/>
        <w:rPr/>
      </w:pPr>
      <w:r>
        <w:rPr>
          <w:rFonts w:cs="Calibri" w:ascii="Calibri" w:hAnsi="Calibri"/>
          <w:color w:val="000000" w:themeColor="text1"/>
        </w:rPr>
        <w:t>A manifestação técnica destacou que, embora a matéria se aproxime da organização administrativa da rede municipal de ensino, o Projeto utiliza redação que preserva a margem de decisão administrativa do Poder Executivo, especialmente ao dispor que o Executivo “poderá autorizar” o consumo da alimentação escolar e “poderá implementar gradualmente” os espaços funcionais, observada a disponibilidade orçamentária.</w:t>
      </w:r>
    </w:p>
    <w:p>
      <w:pPr>
        <w:pStyle w:val="Normal"/>
        <w:ind w:firstLine="2268"/>
        <w:jc w:val="both"/>
        <w:rPr/>
      </w:pPr>
      <w:r>
        <w:rPr>
          <w:rFonts w:cs="Calibri" w:ascii="Calibri" w:hAnsi="Calibri"/>
          <w:color w:val="000000" w:themeColor="text1"/>
        </w:rPr>
        <w:t>Ainda conforme a Assessoria Jurídica, a proposição não cria órgão, cargo, emprego ou função pública, não altera diretamente a estrutura administrativa municipal e não impõe execução automática, imediata ou obrigatória de despesa pública. O texto estabelece diretrizes gerais e mantém ao Poder Executivo a definição da forma concreta de implementação, por meio de regulamentação própria.</w:t>
      </w:r>
    </w:p>
    <w:p>
      <w:pPr>
        <w:pStyle w:val="Normal"/>
        <w:ind w:firstLine="2268"/>
        <w:jc w:val="both"/>
        <w:rPr/>
      </w:pPr>
      <w:r>
        <w:rPr>
          <w:rFonts w:cs="Calibri" w:ascii="Calibri" w:hAnsi="Calibri"/>
          <w:color w:val="000000" w:themeColor="text1"/>
        </w:rPr>
        <w:t>Também foi consignado que a alimentação eventualmente fornecida não possui natureza remuneratória ou salarial, não se incorpora aos vencimentos, não configura base previdenciária e não substitui benefícios já existentes, conforme previsão expressa do próprio Projeto.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 xml:space="preserve">No aspecto orçamentário, a manifestação jurídica observou que a execução da política deverá observar a disponibilidade de recursos próprios do Tesouro Municipal e a legislação aplicável. Além disso, foi destacada a vedação expressa à utilização de verbas exclusivas do PNAE que possuam destinação restrita aos alunos, o que preserva a vinculação legal dos recursos federais destinados à alimentação escolar. </w:t>
      </w:r>
    </w:p>
    <w:p>
      <w:pPr>
        <w:pStyle w:val="Normal"/>
        <w:ind w:firstLine="2268"/>
        <w:jc w:val="both"/>
        <w:rPr/>
      </w:pPr>
      <w:r>
        <w:rPr>
          <w:rFonts w:cs="Calibri" w:ascii="Calibri" w:hAnsi="Calibri"/>
          <w:color w:val="000000" w:themeColor="text1"/>
        </w:rPr>
        <w:t>Dessa forma, acolhendo a manifestação técnica da Assessoria Jurídica das Comissões, verifica-se que o Projeto de Lei Ordinária do Legislativo nº 67/2026 não apresenta óbice jurídico suficiente quanto à constitucionalidade, legalidade, competência ou iniciativa, desde que interpretado como norma de diretrizes gerais, programática e autorizativa, sem criação automática de benefício funcional obrigatório e sem autorização para uso irregular de recursos vinculados.</w:t>
      </w:r>
    </w:p>
    <w:p>
      <w:pPr>
        <w:pStyle w:val="Normal"/>
        <w:numPr>
          <w:ilvl w:val="0"/>
          <w:numId w:val="2"/>
        </w:numPr>
        <w:tabs>
          <w:tab w:val="clear" w:pos="709"/>
        </w:tabs>
        <w:rPr>
          <w:rFonts w:ascii="Calibri" w:hAnsi="Calibri" w:cs="Calibri"/>
          <w:b/>
          <w:b/>
          <w:bCs/>
          <w:color w:val="FF0000"/>
        </w:rPr>
      </w:pPr>
      <w:r>
        <w:rPr>
          <w:rFonts w:cs="Calibri" w:ascii="Calibri" w:hAnsi="Calibri"/>
          <w:b/>
          <w:bCs/>
          <w:color w:val="FF0000"/>
        </w:rPr>
      </w:r>
    </w:p>
    <w:p>
      <w:pPr>
        <w:pStyle w:val="Normal"/>
        <w:numPr>
          <w:ilvl w:val="0"/>
          <w:numId w:val="2"/>
        </w:numPr>
        <w:tabs>
          <w:tab w:val="clear" w:pos="709"/>
        </w:tabs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3. CONCLUSÃO</w:t>
      </w:r>
    </w:p>
    <w:p>
      <w:pPr>
        <w:pStyle w:val="Normal"/>
        <w:ind w:firstLine="2268"/>
        <w:jc w:val="both"/>
        <w:rPr/>
      </w:pPr>
      <w:r>
        <w:rPr>
          <w:rFonts w:cs="Calibri" w:ascii="Calibri" w:hAnsi="Calibri"/>
          <w:color w:val="000000" w:themeColor="text1"/>
        </w:rPr>
        <w:t xml:space="preserve">Em reunião para deliberação, após análise e debate, os membros desta Comissão </w:t>
      </w:r>
      <w:r>
        <w:rPr>
          <w:rFonts w:cs="Calibri" w:ascii="Calibri" w:hAnsi="Calibri"/>
          <w:b/>
          <w:bCs/>
          <w:color w:val="000000" w:themeColor="text1"/>
        </w:rPr>
        <w:t>aprovam a tramitação</w:t>
      </w:r>
      <w:r>
        <w:rPr>
          <w:rFonts w:cs="Calibri" w:ascii="Calibri" w:hAnsi="Calibri"/>
          <w:color w:val="000000" w:themeColor="text1"/>
        </w:rPr>
        <w:t xml:space="preserve"> do Projeto de Lei Ordinária do Legislativo nº 67/2026, que institui a Política Municipal de Valorização Funcional, Bem-Estar e Apoio Alimentar destinada aos professores, servidores administrativos, profissionais de apoio e demais colaboradores em efetivo exercício nas unidades da rede pública municipal de ensino de Vitória da Conquista.</w:t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É O PARECER.</w:t>
      </w:r>
    </w:p>
    <w:p>
      <w:pPr>
        <w:pStyle w:val="Normal"/>
        <w:rPr>
          <w:rFonts w:ascii="Calibri" w:hAnsi="Calibri" w:cs="Calibri"/>
          <w:color w:val="FF0000"/>
        </w:rPr>
      </w:pPr>
      <w:r>
        <w:rPr>
          <w:rFonts w:cs="Calibri" w:ascii="Calibri" w:hAnsi="Calibri"/>
          <w:color w:val="FF0000"/>
        </w:rPr>
      </w:r>
    </w:p>
    <w:p>
      <w:pPr>
        <w:pStyle w:val="Normal"/>
        <w:rPr>
          <w:color w:val="000000"/>
        </w:rPr>
      </w:pPr>
      <w:r>
        <w:rPr>
          <w:rFonts w:cs="Calibri" w:ascii="Calibri" w:hAnsi="Calibri"/>
          <w:color w:val="000000"/>
        </w:rPr>
        <w:t xml:space="preserve">Vitória da Conquista – BA, </w:t>
      </w:r>
      <w:r>
        <w:rPr>
          <w:rFonts w:cs="Calibri" w:ascii="Calibri" w:hAnsi="Calibri"/>
          <w:color w:val="000000"/>
        </w:rPr>
        <w:t>02</w:t>
      </w:r>
      <w:r>
        <w:rPr>
          <w:rFonts w:cs="Calibri" w:ascii="Calibri" w:hAnsi="Calibri"/>
          <w:color w:val="000000"/>
        </w:rPr>
        <w:t xml:space="preserve"> de </w:t>
      </w:r>
      <w:r>
        <w:rPr>
          <w:rFonts w:cs="Calibri" w:ascii="Calibri" w:hAnsi="Calibri"/>
          <w:color w:val="000000"/>
        </w:rPr>
        <w:t>junh</w:t>
      </w:r>
      <w:r>
        <w:rPr>
          <w:rFonts w:cs="Calibri" w:ascii="Calibri" w:hAnsi="Calibri"/>
          <w:color w:val="000000"/>
        </w:rPr>
        <w:t>o de 2026</w:t>
      </w:r>
    </w:p>
    <w:p>
      <w:pPr>
        <w:pStyle w:val="Normal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cs="Calibri" w:ascii="Calibri" w:hAnsi="Calibri"/>
          <w:color w:val="000000"/>
        </w:rPr>
        <w:t>Luis Carlos Dudé</w:t>
      </w:r>
    </w:p>
    <w:p>
      <w:pPr>
        <w:pStyle w:val="Normal"/>
        <w:jc w:val="center"/>
        <w:rPr>
          <w:color w:val="000000"/>
        </w:rPr>
      </w:pPr>
      <w:r>
        <w:rPr>
          <w:rFonts w:cs="Calibri" w:ascii="Calibri" w:hAnsi="Calibri"/>
          <w:color w:val="000000"/>
        </w:rPr>
        <w:t>Presidente</w:t>
      </w:r>
    </w:p>
    <w:p>
      <w:pPr>
        <w:pStyle w:val="Normal"/>
        <w:jc w:val="center"/>
        <w:rPr>
          <w:rFonts w:ascii="Calibri" w:hAnsi="Calibri" w:cs="Calibri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cs="Calibri" w:ascii="Calibri" w:hAnsi="Calibri"/>
          <w:color w:val="000000"/>
        </w:rPr>
        <w:t>Edivaldo Ferreira Jr       Fernando Vasconcelo</w:t>
      </w:r>
    </w:p>
    <w:p>
      <w:pPr>
        <w:pStyle w:val="Normal"/>
        <w:jc w:val="center"/>
        <w:rPr>
          <w:color w:val="000000"/>
        </w:rPr>
      </w:pPr>
      <w:r>
        <w:rPr>
          <w:rFonts w:cs="Calibri" w:ascii="Calibri" w:hAnsi="Calibri"/>
          <w:color w:val="000000"/>
        </w:rPr>
        <w:t>Relator                        Membro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1134" w:top="1417" w:footer="1134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-1085850</wp:posOffset>
          </wp:positionH>
          <wp:positionV relativeFrom="paragraph">
            <wp:posOffset>-700405</wp:posOffset>
          </wp:positionV>
          <wp:extent cx="7552055" cy="1905000"/>
          <wp:effectExtent l="0" t="0" r="0" b="0"/>
          <wp:wrapSquare wrapText="largest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5" t="-840" r="-195" b="-840"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190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8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t-BR"/>
    </w:rPr>
  </w:style>
  <w:style w:type="paragraph" w:styleId="Heading1">
    <w:name w:val="Heading 1"/>
    <w:qFormat/>
    <w:pPr>
      <w:widowControl w:val="false"/>
      <w:numPr>
        <w:ilvl w:val="0"/>
        <w:numId w:val="1"/>
      </w:numPr>
      <w:outlineLvl w:val="0"/>
    </w:pPr>
    <w:rPr>
      <w:rFonts w:ascii="Times New Roman" w:hAnsi="Times New Roman" w:eastAsia="Times New Roman" w:cs="Times New Roman"/>
      <w:b/>
      <w:bCs/>
      <w:color w:val="auto"/>
      <w:kern w:val="0"/>
      <w:sz w:val="36"/>
      <w:szCs w:val="36"/>
      <w:lang w:val="pt-BR" w:eastAsia="pt-BR" w:bidi="ar-SA"/>
    </w:rPr>
  </w:style>
  <w:style w:type="paragraph" w:styleId="Heading2">
    <w:name w:val="Heading 2"/>
    <w:qFormat/>
    <w:pPr>
      <w:widowControl w:val="false"/>
      <w:numPr>
        <w:ilvl w:val="1"/>
        <w:numId w:val="1"/>
      </w:numPr>
      <w:spacing w:before="200" w:after="0"/>
      <w:outlineLvl w:val="1"/>
    </w:pPr>
    <w:rPr>
      <w:rFonts w:ascii="Times New Roman" w:hAnsi="Times New Roman" w:eastAsia="Times New Roman" w:cs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Heading3">
    <w:name w:val="Heading 3"/>
    <w:qFormat/>
    <w:pPr>
      <w:widowControl w:val="false"/>
      <w:numPr>
        <w:ilvl w:val="2"/>
        <w:numId w:val="1"/>
      </w:numPr>
      <w:spacing w:before="140" w:after="0"/>
      <w:outlineLvl w:val="2"/>
    </w:pPr>
    <w:rPr>
      <w:rFonts w:ascii="Times New Roman" w:hAnsi="Times New Roman" w:eastAsia="Times New Roman" w:cs="Times New Roman"/>
      <w:b/>
      <w:bCs/>
      <w:color w:val="808080"/>
      <w:kern w:val="0"/>
      <w:sz w:val="24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13" w:customStyle="1">
    <w:name w:val="Fonte parág. padrão13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2" w:customStyle="1">
    <w:name w:val="Fonte parág. padrão12"/>
    <w:qFormat/>
    <w:rPr/>
  </w:style>
  <w:style w:type="character" w:styleId="Fontepargpadro11" w:customStyle="1">
    <w:name w:val="Fonte parág. padrão11"/>
    <w:qFormat/>
    <w:rPr/>
  </w:style>
  <w:style w:type="character" w:styleId="Fontepargpadro10" w:customStyle="1">
    <w:name w:val="Fonte parág. padrão10"/>
    <w:qFormat/>
    <w:rPr/>
  </w:style>
  <w:style w:type="character" w:styleId="Fontepargpadro9" w:customStyle="1">
    <w:name w:val="Fonte parág. padrão9"/>
    <w:qFormat/>
    <w:rPr/>
  </w:style>
  <w:style w:type="character" w:styleId="Fontepargpadro8" w:customStyle="1">
    <w:name w:val="Fonte parág. padrão8"/>
    <w:qFormat/>
    <w:rPr/>
  </w:style>
  <w:style w:type="character" w:styleId="Fontepargpadro7" w:customStyle="1">
    <w:name w:val="Fonte parág. padrão7"/>
    <w:qFormat/>
    <w:rPr/>
  </w:style>
  <w:style w:type="character" w:styleId="Fontepargpadro6" w:customStyle="1">
    <w:name w:val="Fonte parág. padrão6"/>
    <w:qFormat/>
    <w:rPr/>
  </w:style>
  <w:style w:type="character" w:styleId="Fontepargpadro5" w:customStyle="1">
    <w:name w:val="Fonte parág. padrão5"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Fontepargpadro1" w:customStyle="1">
    <w:name w:val="Fonte parág. padrão1"/>
    <w:qFormat/>
    <w:rPr/>
  </w:style>
  <w:style w:type="character" w:styleId="InternetLink">
    <w:name w:val="Internet Link"/>
    <w:rPr>
      <w:color w:val="000080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  <w:rPr/>
  </w:style>
  <w:style w:type="character" w:styleId="RodapChar" w:customStyle="1">
    <w:name w:val="Rodapé Char"/>
    <w:qFormat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Tibetan Machine Un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ibetan Machine Un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ibetan Machine Uni"/>
    </w:rPr>
  </w:style>
  <w:style w:type="paragraph" w:styleId="Ttulo14" w:customStyle="1">
    <w:name w:val="Título14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" w:customStyle="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" w:customStyle="1">
    <w:name w:val="Caption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" w:customStyle="1">
    <w:name w:val="Caption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Ttulo13" w:customStyle="1">
    <w:name w:val="Título13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tulo12" w:customStyle="1">
    <w:name w:val="Título12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tulo11" w:customStyle="1">
    <w:name w:val="Título11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tulo10" w:customStyle="1">
    <w:name w:val="Título10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tulo9" w:customStyle="1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8" w:customStyle="1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7" w:customStyle="1">
    <w:name w:val="Título7"/>
    <w:basedOn w:val="Ttulo6"/>
    <w:qFormat/>
    <w:pPr>
      <w:jc w:val="center"/>
    </w:pPr>
    <w:rPr>
      <w:b/>
      <w:bCs/>
      <w:sz w:val="56"/>
      <w:szCs w:val="56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5" w:customStyle="1">
    <w:name w:val="Título5"/>
    <w:basedOn w:val="Ttulo4"/>
    <w:qFormat/>
    <w:pPr>
      <w:jc w:val="center"/>
    </w:pPr>
    <w:rPr>
      <w:b/>
      <w:bCs/>
      <w:sz w:val="56"/>
      <w:szCs w:val="56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2" w:customStyle="1">
    <w:name w:val="Título2"/>
    <w:basedOn w:val="Ttulo1"/>
    <w:qFormat/>
    <w:pPr>
      <w:jc w:val="center"/>
    </w:pPr>
    <w:rPr>
      <w:b/>
      <w:bCs/>
      <w:sz w:val="56"/>
      <w:szCs w:val="56"/>
    </w:rPr>
  </w:style>
  <w:style w:type="paragraph" w:styleId="Cabealhoerodap" w:customStyle="1">
    <w:name w:val="Cabeçalho e rodapé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cs="Calibri"/>
    </w:rPr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itle">
    <w:name w:val="Subtitle"/>
    <w:basedOn w:val="Ttulo1"/>
    <w:qFormat/>
    <w:pPr>
      <w:spacing w:before="60" w:after="120"/>
      <w:jc w:val="center"/>
    </w:pPr>
    <w:rPr>
      <w:sz w:val="36"/>
      <w:szCs w:val="36"/>
    </w:rPr>
  </w:style>
  <w:style w:type="paragraph" w:styleId="NoSpacing">
    <w:name w:val="No Spacing"/>
    <w:uiPriority w:val="1"/>
    <w:qFormat/>
    <w:rsid w:val="000a5888"/>
    <w:pPr>
      <w:widowControl/>
      <w:suppressAutoHyphens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1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LibreOffice/6.0.7.3$Linux_X86_64 LibreOffice_project/00m0$Build-3</Application>
  <Pages>3</Pages>
  <Words>753</Words>
  <Characters>4637</Characters>
  <CharactersWithSpaces>5398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2026-05-26T23:16:00Z</dcterms:created>
  <dc:creator>Lucelma Andrade</dc:creator>
  <dc:description/>
  <dc:language>dz-BT</dc:language>
  <cp:lastModifiedBy>usuario </cp:lastModifiedBy>
  <cp:lastPrinted>2021-03-03T13:57:00Z</cp:lastPrinted>
  <dcterms:modified xsi:type="dcterms:W3CDTF">2026-06-02T08:55:53Z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