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 Praça José Garanto, bairro Jurema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e 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do bairro Jurema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 xml:space="preserve">referente à precariedade da iluminação pública </w:t>
      </w:r>
      <w:r>
        <w:rPr/>
        <w:t>da praça</w:t>
      </w:r>
      <w:r>
        <w:rPr/>
        <w:t>. É necessário fazer uma avaliação da iluminação.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LibreOffice/7.6.4.1$Windows_X86_64 LibreOffice_project/e19e193f88cd6c0525a17fb7a176ed8e6a3e2aa1</Application>
  <AppVersion>15.0000</AppVersion>
  <Pages>1</Pages>
  <Words>124</Words>
  <Characters>758</Characters>
  <CharactersWithSpaces>908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2024-04-17T15:09:52Z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