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olor w:val="00000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Desenvolvimento Rural</w:t>
      </w:r>
      <w:r>
        <w:rPr>
          <w:rFonts w:cs="Times New Roman"/>
          <w:i/>
          <w:iCs/>
          <w:sz w:val="24"/>
          <w:szCs w:val="24"/>
        </w:rPr>
        <w:t xml:space="preserve">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 Estrada do Povoado dos Quatis do Fumaça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Desenvolvimento Rural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Povoado dos Quatis do Fumaça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</w:t>
      </w:r>
      <w:r>
        <w:rPr/>
        <w:t xml:space="preserve">  </w:t>
      </w:r>
      <w:r>
        <w:rPr/>
        <w:t xml:space="preserve">falta de </w:t>
      </w:r>
      <w:r>
        <w:rPr/>
        <w:t xml:space="preserve">postes,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e</w:t>
      </w:r>
      <w:r>
        <w:rPr/>
        <w:t xml:space="preserve"> lâmpadas queimadas,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LibreOffice/6.4.7.2$Windows_X86_64 LibreOffice_project/639b8ac485750d5696d7590a72ef1b496725cfb5</Application>
  <Pages>1</Pages>
  <Words>151</Words>
  <Characters>911</Characters>
  <CharactersWithSpaces>1089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2022-10-17T19:00:27Z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