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5.png" ContentType="image/png"/>
  <Override PartName="/word/media/image4.png" ContentType="image/png"/>
  <Override PartName="/word/media/image3.jpeg" ContentType="image/jpeg"/>
  <Override PartName="/word/media/image2.wmf" ContentType="image/x-wmf"/>
  <Override PartName="/word/media/image6.png" ContentType="image/png"/>
  <Override PartName="/word/media/image1.jpeg" ContentType="image/jpeg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left" w:pos="4395" w:leader="none"/>
          <w:tab w:val="center" w:pos="4819" w:leader="none"/>
          <w:tab w:val="right" w:pos="9638" w:leader="none"/>
        </w:tabs>
        <w:spacing w:lineRule="auto" w:line="360"/>
        <w:ind w:right="284" w:hanging="0"/>
        <w:jc w:val="center"/>
        <w:rPr/>
      </w:pPr>
      <w:r>
        <w:rPr>
          <w:rFonts w:eastAsia="Times New Roman" w:cs="Times New Roman" w:ascii="Times New Roman" w:hAnsi="Times New Roman"/>
          <w:b/>
          <w:iCs/>
          <w:color w:val="000000"/>
          <w:lang w:eastAsia="pt-BR"/>
        </w:rPr>
        <w:t>EMENDA DE REDAÇÃO AO PROJETO DE LEI DO EXECUTIVO N.º 01/2022</w:t>
      </w:r>
    </w:p>
    <w:p>
      <w:pPr>
        <w:pStyle w:val="Cabealho"/>
        <w:tabs>
          <w:tab w:val="left" w:pos="4395" w:leader="none"/>
          <w:tab w:val="center" w:pos="4819" w:leader="none"/>
          <w:tab w:val="right" w:pos="9638" w:leader="none"/>
        </w:tabs>
        <w:spacing w:lineRule="auto" w:line="360"/>
        <w:ind w:right="284" w:hanging="0"/>
        <w:jc w:val="center"/>
        <w:rPr>
          <w:rFonts w:ascii="Times New Roman" w:hAnsi="Times New Roman" w:eastAsia="Times New Roman" w:cs="Times New Roman"/>
          <w:iCs/>
          <w:color w:val="000000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lang w:eastAsia="pt-BR"/>
        </w:rPr>
      </w:r>
    </w:p>
    <w:p>
      <w:pPr>
        <w:pStyle w:val="Normal"/>
        <w:ind w:left="3969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000000"/>
          <w:lang w:eastAsia="pt-BR"/>
        </w:rPr>
        <w:t xml:space="preserve">Emenda de redação ao Projeto de Lei Ordinária do Executivo n.º 01, de 17 de Março de 2022, que </w:t>
      </w:r>
      <w:r>
        <w:rPr>
          <w:rFonts w:eastAsia="Times New Roman" w:cs="Times New Roman" w:ascii="Times New Roman" w:hAnsi="Times New Roman"/>
          <w:i/>
          <w:iCs/>
          <w:color w:val="000000"/>
          <w:lang w:eastAsia="pt-BR"/>
        </w:rPr>
        <w:t>r</w:t>
      </w:r>
      <w:r>
        <w:rPr>
          <w:rFonts w:eastAsia="Times New Roman" w:cs="Times New Roman" w:ascii="Times New Roman" w:hAnsi="Times New Roman"/>
          <w:i/>
          <w:iCs/>
          <w:color w:val="000000"/>
          <w:lang w:eastAsia="pt-BR"/>
        </w:rPr>
        <w:t>evoga a Lei Municipal n° 2.521, de 26 de outubro de 2021, que criou o Conselho Municipal de Turismo (COMTUR) e o Fundo Municipal de Turismo (FUMTUR), e dá outras providências.</w:t>
      </w:r>
    </w:p>
    <w:p>
      <w:pPr>
        <w:pStyle w:val="Normal"/>
        <w:spacing w:lineRule="auto" w:line="360"/>
        <w:ind w:left="3987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ind w:left="3987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rpodetexto21"/>
        <w:spacing w:lineRule="auto" w:line="360" w:before="0" w:after="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O projeto de lei passa a contar com a seguinte redação:</w:t>
      </w:r>
    </w:p>
    <w:p>
      <w:pPr>
        <w:pStyle w:val="Corpodetexto21"/>
        <w:spacing w:lineRule="auto" w:line="360" w:before="0" w:after="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ab/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Art. 3º. </w:t>
      </w:r>
      <w:r>
        <w:rPr>
          <w:rFonts w:cs="Times New Roman" w:ascii="Times New Roman" w:hAnsi="Times New Roman"/>
          <w:bCs/>
        </w:rPr>
        <w:t>O Conselho Municipal de Turismo – COMTUR – será composto de maneira tripartite, por representantes do Poder público, da sociedade civil e de organizações com experiência em gestão de turismo, os quais deverão ser nomeados pelo (a) Chefe do Poder Executivo, na forma abaixo discriminada: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I – 04 (quatro) representantes titulares e 04 (quatro) representantes suplentes do Poder público, escolhidos pelo (a) Chefe do Poder Executivo, sendo ao menos 01 (um) vinculado à Secretaria competente pela execução da política municipal de turismo, 01 (um) vinculado à Secretaria Municipal de Meio Ambiente e 01 (um) das forças de segurança pública;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II – 04 (quatro) representantes titulares e 04 (quatro) representantes suplentes representando a sociedade civil, devendo contemplar as seguintes categorias: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entre os proprietários de restaurantes, bares, lanchonetes, ou similares;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entre os proprietários de hotéis, pousadas e similares;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dentre proprietários de agências de eventos ou entretenimento;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dentre trabalhadores da cultura, músicos, artesãos, artistas plásticos e outros;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da área dos Esportes;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da área da Imprensa.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III – 04 (quatro) representantes titulares e 04 (quatro) representantes suplentes representando as organizações com experiência em gestão de turismo, sendo: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do Serviço Brasileiro de Apoio às Pequenas e Micro Empresas - SEBRAE, vinculado à unidade de Vitória da Conquista;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escolhido entre os proprietários de agências de viagens e turismo local;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indicado pela Câmara de Dirigentes Lojistas;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vinculado ao Serviço Nacional de Aprendizagem Comercial - SENAC;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01 (um) representante vinculado à Associação Comercial e Industrial de Vitória da Conquista;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 1º </w:t>
      </w:r>
      <w:r>
        <w:rPr>
          <w:rFonts w:cs="Times New Roman" w:ascii="Times New Roman" w:hAnsi="Times New Roman"/>
          <w:bCs/>
        </w:rPr>
        <w:t>O (a) Presidente e o (a) Vice-Presidente do COMTUR serão escolhidos entre seus membros na primeira reunião ordinária de cada anuênio, por maioria simples.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(...)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 3º </w:t>
      </w:r>
      <w:r>
        <w:rPr>
          <w:rFonts w:cs="Times New Roman" w:ascii="Times New Roman" w:hAnsi="Times New Roman"/>
          <w:bCs/>
        </w:rPr>
        <w:t>A Secretaria responsável pela Política Municipal de Turismo deverá convocar do Foro da Sociedade Civil para fins de indicação dos conselheiros representantes da sociedade civil organizada e das organizações com experiência em gestão de turismo, os quais serão eleitos democraticamente pelos respectivos segmentos.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Art. 4º(...)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 1º. </w:t>
      </w:r>
      <w:r>
        <w:rPr>
          <w:rFonts w:cs="Times New Roman" w:ascii="Times New Roman" w:hAnsi="Times New Roman"/>
          <w:bCs/>
        </w:rPr>
        <w:t>O FUMTUR será gerido pelo Conselho Municipal de Turismo, que tem caráter deliberativo.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 2º. </w:t>
      </w:r>
      <w:r>
        <w:rPr>
          <w:rFonts w:cs="Times New Roman" w:ascii="Times New Roman" w:hAnsi="Times New Roman"/>
          <w:bCs/>
        </w:rPr>
        <w:t>Cabe à/ao presidente do  COMTUR encaminhar  a  proposta  orçamentária anual,  os  planos  semestrais de  aplicação  e  os  relatórios  trimestrais das  atividades  do  Fundo  à  SECTEL.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§3º. </w:t>
      </w:r>
      <w:r>
        <w:rPr>
          <w:rFonts w:cs="Times New Roman" w:ascii="Times New Roman" w:hAnsi="Times New Roman"/>
          <w:bCs/>
        </w:rPr>
        <w:t>Poderá o FUMTUR captar e repassar os recursos para a implementação da Política Municipal do Turismo.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>Art. 5.º</w:t>
      </w:r>
      <w:r>
        <w:rPr>
          <w:rFonts w:cs="Times New Roman" w:ascii="Times New Roman" w:hAnsi="Times New Roman"/>
          <w:bCs/>
        </w:rPr>
        <w:t xml:space="preserve"> Constituirão receitas do FUMTUR: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I - </w:t>
      </w:r>
      <w:r>
        <w:rPr>
          <w:rFonts w:cs="Times New Roman" w:ascii="Times New Roman" w:hAnsi="Times New Roman"/>
          <w:bCs/>
        </w:rPr>
        <w:t>dotações do Orçamento Geral do Município destinado ao Fundo, créditos especiais, transferências e repasses classificadas LOA;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II - </w:t>
      </w:r>
      <w:r>
        <w:rPr>
          <w:rFonts w:cs="Times New Roman" w:ascii="Times New Roman" w:hAnsi="Times New Roman"/>
          <w:bCs/>
        </w:rPr>
        <w:t>produto de operações de crédito, realizadas pela Prefeitura, observadas a legislação pertinente e destinadas a esse fim específico; recursos provenientes de empréstimos externos e internos para programas vinculados a cadeia produtiva do turismo;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III - </w:t>
      </w:r>
      <w:r>
        <w:rPr>
          <w:rFonts w:cs="Times New Roman" w:ascii="Times New Roman" w:hAnsi="Times New Roman"/>
          <w:bCs/>
        </w:rPr>
        <w:t>contribuições e doações de pessoas físicas ou jurídicas, entidades e organismos de cooperação nacionais ou internacionais;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IV- </w:t>
      </w:r>
      <w:r>
        <w:rPr>
          <w:rFonts w:cs="Times New Roman" w:ascii="Times New Roman" w:hAnsi="Times New Roman"/>
          <w:bCs/>
        </w:rPr>
        <w:t>recursos advindos de receitas parciais das operações de tarifa de entradas em atrativos turísticos administradas pelo Município ou propriedades particulares que vierem a destinar recursos em função de cobrança de tarifas;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V - </w:t>
      </w:r>
      <w:r>
        <w:rPr>
          <w:rFonts w:cs="Times New Roman" w:ascii="Times New Roman" w:hAnsi="Times New Roman"/>
          <w:bCs/>
        </w:rPr>
        <w:t>receitas operacionais e patrimoniais de operações realizadas com recursos do FUMTUR;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VI - </w:t>
      </w:r>
      <w:r>
        <w:rPr>
          <w:rFonts w:cs="Times New Roman" w:ascii="Times New Roman" w:hAnsi="Times New Roman"/>
          <w:bCs/>
        </w:rPr>
        <w:t>créditos orçamentários ou especiais que lhe sejam destinados;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VII- </w:t>
      </w:r>
      <w:r>
        <w:rPr>
          <w:rFonts w:cs="Times New Roman" w:ascii="Times New Roman" w:hAnsi="Times New Roman"/>
          <w:bCs/>
        </w:rPr>
        <w:t>recursos provenientes de convênios que sejam celebrados;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VIII- </w:t>
      </w:r>
      <w:r>
        <w:rPr>
          <w:rFonts w:cs="Times New Roman" w:ascii="Times New Roman" w:hAnsi="Times New Roman"/>
          <w:bCs/>
        </w:rPr>
        <w:t>os rendimentos provenientes da aplicação financeira de recursos disponíveis;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IX - </w:t>
      </w:r>
      <w:r>
        <w:rPr>
          <w:rFonts w:cs="Times New Roman" w:ascii="Times New Roman" w:hAnsi="Times New Roman"/>
          <w:bCs/>
        </w:rPr>
        <w:t>outros recursos que lhe vierem a serem destinados, outros fundos ou programas que vierem a ser incorporados ao FUMTUR;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X - </w:t>
      </w:r>
      <w:r>
        <w:rPr>
          <w:rFonts w:cs="Times New Roman" w:ascii="Times New Roman" w:hAnsi="Times New Roman"/>
          <w:bCs/>
        </w:rPr>
        <w:t>os recursos obtidos com a cessão de espaços públicos para eventos de cunho turísticos;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XI - </w:t>
      </w:r>
      <w:r>
        <w:rPr>
          <w:rFonts w:cs="Times New Roman" w:ascii="Times New Roman" w:hAnsi="Times New Roman"/>
          <w:bCs/>
        </w:rPr>
        <w:t>os recursos oriundos da venda de publicações turísticas, editadas pelo poder público;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XII - </w:t>
      </w:r>
      <w:r>
        <w:rPr>
          <w:rFonts w:cs="Times New Roman" w:ascii="Times New Roman" w:hAnsi="Times New Roman"/>
          <w:bCs/>
        </w:rPr>
        <w:t>as doações de pessoas físicas ou jurídicas, privadas ou não, nacionais, estrangeiras e/ou internacionais;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XIII - </w:t>
      </w:r>
      <w:r>
        <w:rPr>
          <w:rFonts w:cs="Times New Roman" w:ascii="Times New Roman" w:hAnsi="Times New Roman"/>
          <w:bCs/>
        </w:rPr>
        <w:t>as contribuições de qualquer natureza sejam elas públicas ou privadas;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XIV – </w:t>
      </w:r>
      <w:r>
        <w:rPr>
          <w:rFonts w:cs="Times New Roman" w:ascii="Times New Roman" w:hAnsi="Times New Roman"/>
          <w:bCs/>
        </w:rPr>
        <w:t>taxas, tarifas ambientais, bem como penalidades pecuniárias delas decorrentes;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XV – </w:t>
      </w:r>
      <w:r>
        <w:rPr>
          <w:rFonts w:cs="Times New Roman" w:ascii="Times New Roman" w:hAnsi="Times New Roman"/>
          <w:bCs/>
        </w:rPr>
        <w:t>multas cobradas por infrações às normas ambientais, na forma da legislação vigente;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XVI – </w:t>
      </w:r>
      <w:r>
        <w:rPr>
          <w:rFonts w:cs="Times New Roman" w:ascii="Times New Roman" w:hAnsi="Times New Roman"/>
          <w:bCs/>
        </w:rPr>
        <w:t>quaisquer outros recursos destinados por Lei;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XVII - </w:t>
      </w:r>
      <w:r>
        <w:rPr>
          <w:rFonts w:cs="Times New Roman" w:ascii="Times New Roman" w:hAnsi="Times New Roman"/>
          <w:bCs/>
        </w:rPr>
        <w:t>os recursos do Fundo Municipal de Turismo - FUMTUR serão aplicados no desenvolvimento e aperfeiçoamento dos instrumentos de gestão, planejamento, administração e controle das ações de turismo sustentável, no desenvolvimento de programas de capacitação de recursos humanos na área de turismo e na divulgação do destino em feiras especializadas nacionais e internacionais e mídias técnicas, bem como, para a implementação das ações previstas no Plano Municipal de Turismo;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 1º. </w:t>
      </w:r>
      <w:r>
        <w:rPr>
          <w:rFonts w:cs="Times New Roman" w:ascii="Times New Roman" w:hAnsi="Times New Roman"/>
          <w:bCs/>
        </w:rPr>
        <w:t>Os recursos transferidos para o FUMTUR serão prioritariamente destinados às ações de promoção, desenvolvimento e qualificação do destino turístico.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§ 2º. </w:t>
      </w:r>
      <w:r>
        <w:rPr>
          <w:rFonts w:cs="Times New Roman" w:ascii="Times New Roman" w:hAnsi="Times New Roman"/>
          <w:bCs/>
        </w:rPr>
        <w:t>O FUMTUR responsabilizará pelas despesas decorrentes de convocações para reuniões do COMTUR, bem como, para funcionamento de Grupos de Trabalho e outras despesas para funcionamento do COMTUR, bem como na participação em convocações por órgãos governamentais em que se faça indispensável à presença do representante máximo do COMTUR.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§ 3º. </w:t>
      </w:r>
      <w:r>
        <w:rPr>
          <w:rFonts w:cs="Times New Roman" w:ascii="Times New Roman" w:hAnsi="Times New Roman"/>
          <w:bCs/>
        </w:rPr>
        <w:t>Os recursos do FUMTUR serão depositados obrigatoriamente em instituição financeira oficial, em conta única especial, sob a denominação de Fundo Municipal de Turismo - FUMTUR.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§ 4º.  </w:t>
      </w:r>
      <w:r>
        <w:rPr>
          <w:rFonts w:cs="Times New Roman" w:ascii="Times New Roman" w:hAnsi="Times New Roman"/>
          <w:bCs/>
        </w:rPr>
        <w:t>A prestação de contas do FUMTUR será feita anualmente pelo seu comitê-gestor.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§ 5º.  </w:t>
      </w:r>
      <w:r>
        <w:rPr>
          <w:rFonts w:cs="Times New Roman" w:ascii="Times New Roman" w:hAnsi="Times New Roman"/>
          <w:bCs/>
        </w:rPr>
        <w:t>A Secretaria Municipal de Finanças prestará contas à Secretaria Municipal de Cultura, Turismo, Esporte e Lazer, ao COMTUR e Comitê-Gestor do FUMTUR dos valores recebidos e despendidos para o desenvolvimento do turismo municipal através de balancetes trimestrais e balanço anual do FUMTUR.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§ 6º. </w:t>
      </w:r>
      <w:r>
        <w:rPr>
          <w:rFonts w:cs="Times New Roman" w:ascii="Times New Roman" w:hAnsi="Times New Roman"/>
          <w:bCs/>
        </w:rPr>
        <w:t>O saldo do fundo, apurado no balanço do exercício financeiro será transferido para aplicação no exercício seguinte.</w:t>
      </w:r>
    </w:p>
    <w:p>
      <w:pPr>
        <w:pStyle w:val="Cabealho"/>
        <w:snapToGrid w:val="false"/>
        <w:spacing w:lineRule="auto" w:line="360"/>
        <w:jc w:val="right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jc w:val="right"/>
        <w:rPr/>
      </w:pPr>
      <w:r>
        <w:drawing>
          <wp:anchor behindDoc="1" distT="0" distB="6350" distL="114300" distR="114300" simplePos="0" locked="0" layoutInCell="1" allowOverlap="1" relativeHeight="9">
            <wp:simplePos x="0" y="0"/>
            <wp:positionH relativeFrom="column">
              <wp:posOffset>2162175</wp:posOffset>
            </wp:positionH>
            <wp:positionV relativeFrom="paragraph">
              <wp:posOffset>80645</wp:posOffset>
            </wp:positionV>
            <wp:extent cx="2385695" cy="1460500"/>
            <wp:effectExtent l="0" t="0" r="0" b="0"/>
            <wp:wrapNone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</w:rPr>
        <w:t>P</w:t>
      </w:r>
      <w:r>
        <w:rPr>
          <w:rFonts w:cs="Times New Roman" w:ascii="Times New Roman" w:hAnsi="Times New Roman"/>
          <w:color w:val="000000"/>
        </w:rPr>
        <w:t>lenário Vereadora Carmem Lúcia, 30 de Março de 2022.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drawing>
          <wp:anchor behindDoc="1" distT="0" distB="0" distL="114300" distR="114300" simplePos="0" locked="0" layoutInCell="1" allowOverlap="1" relativeHeight="7">
            <wp:simplePos x="0" y="0"/>
            <wp:positionH relativeFrom="column">
              <wp:posOffset>-138430</wp:posOffset>
            </wp:positionH>
            <wp:positionV relativeFrom="paragraph">
              <wp:posOffset>158115</wp:posOffset>
            </wp:positionV>
            <wp:extent cx="1888490" cy="611505"/>
            <wp:effectExtent l="0" t="0" r="0" b="0"/>
            <wp:wrapNone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8">
            <wp:simplePos x="0" y="0"/>
            <wp:positionH relativeFrom="column">
              <wp:posOffset>4538980</wp:posOffset>
            </wp:positionH>
            <wp:positionV relativeFrom="paragraph">
              <wp:posOffset>34925</wp:posOffset>
            </wp:positionV>
            <wp:extent cx="1581150" cy="666750"/>
            <wp:effectExtent l="0" t="0" r="0" b="0"/>
            <wp:wrapNone/>
            <wp:docPr id="3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eastAsia="Arial" w:cs="Times New Roman"/>
          <w:b/>
          <w:b/>
        </w:rPr>
      </w:pPr>
      <w:r>
        <w:rPr>
          <w:rFonts w:eastAsia="Arial"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t xml:space="preserve">Alexandre Garcia Araújo – Xandó                                        </w:t>
        <w:tab/>
        <w:tab/>
        <w:t xml:space="preserve">     Fernando Vasconcelos</w:t>
      </w:r>
    </w:p>
    <w:p>
      <w:pPr>
        <w:pStyle w:val="Normal"/>
        <w:rPr>
          <w:rFonts w:ascii="Times New Roman" w:hAnsi="Times New Roman" w:eastAsia="Arial" w:cs="Times New Roman"/>
          <w:color w:val="FF0000"/>
        </w:rPr>
      </w:pPr>
      <w:r>
        <w:drawing>
          <wp:anchor behindDoc="1" distT="0" distB="3175" distL="114300" distR="119380" simplePos="0" locked="0" layoutInCell="1" allowOverlap="1" relativeHeight="10">
            <wp:simplePos x="0" y="0"/>
            <wp:positionH relativeFrom="column">
              <wp:posOffset>3521710</wp:posOffset>
            </wp:positionH>
            <wp:positionV relativeFrom="paragraph">
              <wp:posOffset>65405</wp:posOffset>
            </wp:positionV>
            <wp:extent cx="1690370" cy="1216025"/>
            <wp:effectExtent l="0" t="0" r="0" b="0"/>
            <wp:wrapNone/>
            <wp:docPr id="4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Times New Roman" w:ascii="Times New Roman" w:hAnsi="Times New Roman"/>
        </w:rPr>
        <w:t>V</w:t>
      </w:r>
      <w:r>
        <w:rPr>
          <w:rFonts w:eastAsia="Arial" w:cs="Times New Roman" w:ascii="Times New Roman" w:hAnsi="Times New Roman"/>
        </w:rPr>
        <w:t xml:space="preserve">ereador (PT) </w:t>
        <w:tab/>
        <w:tab/>
        <w:tab/>
        <w:tab/>
        <w:tab/>
        <w:tab/>
        <w:t xml:space="preserve">                                   Vereador (PT)</w:t>
      </w:r>
    </w:p>
    <w:p>
      <w:pPr>
        <w:pStyle w:val="Normal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drawing>
          <wp:anchor behindDoc="1" distT="0" distB="8890" distL="114300" distR="114300" simplePos="0" locked="0" layoutInCell="1" allowOverlap="1" relativeHeight="11">
            <wp:simplePos x="0" y="0"/>
            <wp:positionH relativeFrom="column">
              <wp:posOffset>1352550</wp:posOffset>
            </wp:positionH>
            <wp:positionV relativeFrom="paragraph">
              <wp:posOffset>43815</wp:posOffset>
            </wp:positionV>
            <wp:extent cx="1283970" cy="543560"/>
            <wp:effectExtent l="0" t="0" r="0" b="0"/>
            <wp:wrapNone/>
            <wp:docPr id="5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t xml:space="preserve">                                       </w:t>
      </w:r>
      <w:r>
        <w:rPr>
          <w:rFonts w:eastAsia="Arial" w:cs="Times New Roman" w:ascii="Times New Roman" w:hAnsi="Times New Roman"/>
        </w:rPr>
        <w:t xml:space="preserve">Chico Estrela </w:t>
      </w:r>
    </w:p>
    <w:p>
      <w:pPr>
        <w:pStyle w:val="Normal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t xml:space="preserve">                                      </w:t>
      </w:r>
      <w:r>
        <w:rPr>
          <w:rFonts w:eastAsia="Arial" w:cs="Times New Roman" w:ascii="Times New Roman" w:hAnsi="Times New Roman"/>
        </w:rPr>
        <w:t>Vereador (PTC)</w:t>
      </w:r>
    </w:p>
    <w:p>
      <w:pPr>
        <w:pStyle w:val="Normal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</w:rPr>
      </w:pPr>
      <w:r>
        <w:rPr>
          <w:rFonts w:eastAsia="Arial" w:cs="Times New Roman" w:ascii="Times New Roman" w:hAnsi="Times New Roman"/>
          <w:b/>
        </w:rPr>
        <w:t>JUSTIFICATIVA</w:t>
      </w:r>
    </w:p>
    <w:p>
      <w:pPr>
        <w:pStyle w:val="Normal"/>
        <w:jc w:val="center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presentes alterações ao projeto de lei original foram feitas tomando como base a Audiência Pública realizada pela Câmara Municipal de Vereadores de Vitória da Conquista</w:t>
      </w:r>
      <w:r>
        <w:rPr>
          <w:rStyle w:val="Ncoradanotaderodap"/>
          <w:rStyle w:val="Ncoradanotaderodap"/>
          <w:rFonts w:cs="Times New Roman" w:ascii="Times New Roman" w:hAnsi="Times New Roman"/>
        </w:rPr>
        <w:footnoteReference w:id="2"/>
      </w:r>
      <w:r>
        <w:rPr>
          <w:rFonts w:cs="Times New Roman" w:ascii="Times New Roman" w:hAnsi="Times New Roman"/>
        </w:rPr>
        <w:t>, no dia 17 de agosto de 2021, de iniciativa dos vereadores Alexandre Xandó e Fernando Jacaré, e contou com a presença de representantes da área do Turismo da nossa cidade, visando qualificar a redação do projeto de lei.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1906" w:h="16838"/>
      <w:pgMar w:left="1134" w:right="1134" w:header="1134" w:top="3109" w:footer="1134" w:bottom="210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0"/>
        <w:szCs w:val="20"/>
      </w:rPr>
    </w:pPr>
    <w:r>
      <w:rPr>
        <w:rFonts w:ascii="Arial" w:hAnsi="Arial"/>
        <w:sz w:val="20"/>
        <w:szCs w:val="20"/>
      </w:rPr>
      <w:t>Gabinete Parlamentar do Vereador Alexandre Xandó (PT) - Câmara Municipal de Vitória da Conquista – Ba</w:t>
    </w:r>
  </w:p>
  <w:p>
    <w:pPr>
      <w:pStyle w:val="Normal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Sala 208, 2º Andar | Fone 77-3086-9643 | Redes sociais: alexandre xando</w:t>
    </w:r>
  </w:p>
  <w:p>
    <w:pPr>
      <w:pStyle w:val="Normal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www.camaravc.com.br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>
          <w:rStyle w:val="Caracteresdenotaderodap"/>
        </w:rPr>
        <w:tab/>
      </w:r>
      <w:r>
        <w:rPr>
          <w:rStyle w:val="FootnoteCharacters"/>
        </w:rPr>
        <w:tab/>
      </w:r>
      <w:r>
        <w:rPr/>
        <w:t xml:space="preserve"> Audiência Pública propõe mudanças na Lei que institui o Conselho Municipal de Turismo e o Fundo Municipal de Turismo.  </w:t>
      </w:r>
      <w:hyperlink r:id="rId1">
        <w:r>
          <w:rPr>
            <w:rStyle w:val="LinkdaInternet"/>
          </w:rPr>
          <w:t>http://www.camaravc.com.br/home/noticia/31762</w:t>
        </w:r>
      </w:hyperlink>
      <w:r>
        <w:rPr/>
        <w:t xml:space="preserve">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0</wp:posOffset>
          </wp:positionH>
          <wp:positionV relativeFrom="paragraph">
            <wp:posOffset>-338455</wp:posOffset>
          </wp:positionV>
          <wp:extent cx="6120130" cy="1420495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366d"/>
    <w:rPr>
      <w:rFonts w:ascii="Tahoma" w:hAnsi="Tahoma"/>
      <w:sz w:val="16"/>
      <w:szCs w:val="14"/>
    </w:rPr>
  </w:style>
  <w:style w:type="character" w:styleId="LinkdaInternet">
    <w:name w:val="Link da Internet"/>
    <w:basedOn w:val="DefaultParagraphFont"/>
    <w:uiPriority w:val="99"/>
    <w:unhideWhenUsed/>
    <w:rsid w:val="00745370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e1017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238a2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238a2"/>
    <w:rPr>
      <w:rFonts w:ascii="Calibri" w:hAnsi="Calibri" w:eastAsia="Calibri" w:cs="" w:asciiTheme="minorHAnsi" w:cstheme="minorBidi" w:eastAsiaTheme="minorHAnsi" w:hAnsiTheme="minorHAnsi"/>
      <w:kern w:val="0"/>
      <w:sz w:val="20"/>
      <w:szCs w:val="20"/>
      <w:lang w:eastAsia="en-US" w:bidi="ar-SA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238a2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366d"/>
    <w:pPr/>
    <w:rPr>
      <w:rFonts w:ascii="Tahoma" w:hAnsi="Tahoma"/>
      <w:sz w:val="16"/>
      <w:szCs w:val="14"/>
    </w:rPr>
  </w:style>
  <w:style w:type="paragraph" w:styleId="Textoprformatado" w:customStyle="1">
    <w:name w:val="Texto préformatado"/>
    <w:basedOn w:val="Normal"/>
    <w:qFormat/>
    <w:rsid w:val="002e1017"/>
    <w:pPr>
      <w:spacing w:lineRule="auto" w:line="259"/>
    </w:pPr>
    <w:rPr>
      <w:rFonts w:ascii="Times New Roman" w:hAnsi="Times New Roman" w:eastAsia="NSimSun" w:cs="Courier New"/>
      <w:kern w:val="0"/>
      <w:sz w:val="20"/>
      <w:szCs w:val="20"/>
      <w:lang w:eastAsia="en-US" w:bidi="ar-SA"/>
    </w:rPr>
  </w:style>
  <w:style w:type="paragraph" w:styleId="Artigo" w:customStyle="1">
    <w:name w:val="artigo"/>
    <w:basedOn w:val="Normal"/>
    <w:qFormat/>
    <w:rsid w:val="00f4439f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Corpodetexto21" w:customStyle="1">
    <w:name w:val="Corpo de texto 21"/>
    <w:basedOn w:val="Normal"/>
    <w:qFormat/>
    <w:rsid w:val="00e238a2"/>
    <w:pPr>
      <w:suppressAutoHyphens w:val="true"/>
      <w:spacing w:lineRule="auto" w:line="480" w:before="0" w:after="120"/>
    </w:pPr>
    <w:rPr>
      <w:rFonts w:ascii="Times New Roman" w:hAnsi="Times New Roman" w:eastAsia="Times New Roman" w:cs="Calibri"/>
      <w:lang w:eastAsia="ar-SA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238a2"/>
    <w:pPr/>
    <w:rPr>
      <w:rFonts w:ascii="Calibri" w:hAnsi="Calibri" w:eastAsia="Calibri" w:cs="" w:asciiTheme="minorHAnsi" w:cstheme="minorBidi" w:eastAsiaTheme="minorHAnsi" w:hAnsiTheme="minorHAnsi"/>
      <w:kern w:val="0"/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3821d9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camaravc.com.br/home/noticia/31762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278C-ADC3-4A55-B0C7-D74E7A0A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LibreOffice/6.0.7.3$Linux_X86_64 LibreOffice_project/dc89aa7a9eabfd848af146d5086077aeed2ae4a5</Application>
  <Pages>5</Pages>
  <Words>1131</Words>
  <Characters>6488</Characters>
  <CharactersWithSpaces>7746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2021-08-16T23:49:00Z</dcterms:created>
  <dc:creator>Windows</dc:creator>
  <dc:description/>
  <dc:language>pt-BR</dc:language>
  <cp:lastModifiedBy/>
  <cp:lastPrinted>2021-03-28T16:15:00Z</cp:lastPrinted>
  <dcterms:modified xsi:type="dcterms:W3CDTF">2022-03-30T17:21:50Z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