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Rui Costa dos Santos, Governador da Bahia, a Sua Excelência o Senhor João Carlos Bacelar Batista, Deputado Federal, a Sua Senhoria o Senhor Fábio Vilas Boas, Secretário de Saúde do Estado, Sua Excelência a Senhora Sheila Lemos, Prefeita Municipal em exercício e a Sua Senhoria a Senhora Romana Cerqueira Pereira, Secretária de Saúde, a instalação de um Hospital de Campanha para receber pacientes vítimas da Covid-19.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Senhor Rui Costa dos Santos</w:t>
      </w:r>
    </w:p>
    <w:p>
      <w:pPr>
        <w:pStyle w:val="Normal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Sua Excelência o Senhor João Carlos Bacelar Batista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A Sua Senhoria o 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Senhor Fábio Vilas Boas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Sua Excelência a Senhora Sheila Lemos</w:t>
      </w:r>
    </w:p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Sua Senhoria a Senhora Romana Cerqueira Pereira</w:t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A presente indicação tem por objetivo atender as reivindicações feitas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pela população da cidade de Vitória da Conquista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no sentido de instalar um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Hospital de Campanha, em caráter de urgência, para atender a grande demanda de infectados pela Covid-19. </w:t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Vitória da Conquista, além de atender a população de residentes, atende pacientes infectados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dos demais municípios do sudoeste bahiano, o que provocou um colapso na rede hospitalar deste município, encontrando-se com praticamente 100% dos seus leitos de UTI ocupados. </w:t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Portando, solicitamos em caráter de urgência a instalação do referido Hospital de Campanha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/>
      </w:pP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23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058035" cy="7721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LibreOffice/5.1.6.2$Linux_x86 LibreOffice_project/10m0$Build-2</Application>
  <Pages>2</Pages>
  <Words>221</Words>
  <Characters>1213</Characters>
  <CharactersWithSpaces>1433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2021-02-09T08:55:36Z</cp:lastPrinted>
  <dcterms:modified xsi:type="dcterms:W3CDTF">2021-02-23T08:31:40Z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