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Default="001F62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MENSAGEM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- Veto da Lei nº 1.383/2020</w:t>
      </w:r>
    </w:p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F623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Vitória da Conquista, 08 de dezembro de 2020</w:t>
      </w:r>
    </w:p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F62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À Sua Excelência o Senhor</w:t>
      </w:r>
    </w:p>
    <w:p w:rsidR="00000000" w:rsidRDefault="001F62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LUCIANO GOMES</w:t>
      </w:r>
    </w:p>
    <w:p w:rsidR="00000000" w:rsidRDefault="001F62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Presidente da Câmara Municipal de Vereadores</w:t>
      </w:r>
    </w:p>
    <w:p w:rsidR="00000000" w:rsidRDefault="001F62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Vitória da Conquista</w:t>
      </w:r>
    </w:p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F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F6230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000000" w:rsidRDefault="001F6230">
      <w:pPr>
        <w:spacing w:line="360" w:lineRule="auto"/>
        <w:ind w:firstLine="720"/>
        <w:jc w:val="both"/>
      </w:pPr>
      <w:bookmarkStart w:id="1" w:name="_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Acusamos o recebimento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LEI Nº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.383, de 18 de novembro de 2020</w:t>
      </w:r>
      <w:r>
        <w:rPr>
          <w:rFonts w:ascii="Times New Roman" w:eastAsia="Times New Roman" w:hAnsi="Times New Roman" w:cs="Times New Roman"/>
          <w:sz w:val="24"/>
          <w:szCs w:val="24"/>
        </w:rPr>
        <w:t>, que dispõe sobre esta lei, igualar no direito, à mobilidade urbana e à captação de passageiros entre motoristas de aplicativo e táxi.</w:t>
      </w:r>
    </w:p>
    <w:p w:rsidR="00000000" w:rsidRDefault="001F6230">
      <w:pPr>
        <w:spacing w:line="360" w:lineRule="auto"/>
        <w:ind w:firstLine="720"/>
        <w:jc w:val="both"/>
      </w:pPr>
      <w:bookmarkStart w:id="2" w:name="_norsvfoeh2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Com fundamento na Lei Orgânica do Município, Constituição Federal/88 e Lei Federal, decid</w:t>
      </w:r>
      <w:r>
        <w:rPr>
          <w:rFonts w:ascii="Times New Roman" w:eastAsia="Times New Roman" w:hAnsi="Times New Roman" w:cs="Times New Roman"/>
          <w:sz w:val="24"/>
          <w:szCs w:val="24"/>
        </w:rPr>
        <w:t>imos VETAR TOTALMENTE, o que fazemos pelas razões e fundamentos a seguir expostos.</w:t>
      </w:r>
    </w:p>
    <w:p w:rsidR="00000000" w:rsidRDefault="001F6230">
      <w:pPr>
        <w:spacing w:line="360" w:lineRule="auto"/>
        <w:ind w:firstLine="720"/>
        <w:jc w:val="both"/>
      </w:pPr>
      <w:bookmarkStart w:id="3" w:name="_iz844nehp6x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O direito à mobilidade é, pois, componente fundamental em tal contexto do direito à cidade, instrumento de reequilíbrio nas relações entre os mais vulneráveis e as camadas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inoritárias mais afortunadas, sendo norteada  pelo princípio da função social das cidades; princípio da obrigatoriedade do planejamento participativo;princípio da descentralização;  princípio da gestão democrática; princípio da primazia social;  princípio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sustentabilidade;  princípio da repartição do ônus e distribuição de benefícios;  princípio da coesão dinâmica; princípio da cooperação entre os setores público e privado. </w:t>
      </w:r>
    </w:p>
    <w:p w:rsidR="00000000" w:rsidRDefault="001F6230">
      <w:pPr>
        <w:spacing w:line="360" w:lineRule="auto"/>
        <w:ind w:firstLine="720"/>
        <w:jc w:val="both"/>
      </w:pPr>
      <w:bookmarkStart w:id="4" w:name="_wd807b8zvf43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Sendo assim com o auxílio da principiologia própria que norteia o direito da mob</w:t>
      </w:r>
      <w:r>
        <w:rPr>
          <w:rFonts w:ascii="Times New Roman" w:eastAsia="Times New Roman" w:hAnsi="Times New Roman" w:cs="Times New Roman"/>
          <w:sz w:val="24"/>
          <w:szCs w:val="24"/>
        </w:rPr>
        <w:t>ilidade na interpretação, cumpre tecer algumas considerações em relação à Lei em discussão.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000" w:rsidRDefault="001F6230">
      <w:pPr>
        <w:spacing w:line="360" w:lineRule="auto"/>
        <w:ind w:firstLine="720"/>
        <w:jc w:val="both"/>
      </w:pPr>
      <w:bookmarkStart w:id="5" w:name="_ghisiy6lm3p2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No art. 1º consta disposição sobre a liberação aos motoristas de aplicativos privados do direito a utilizar pontos de parada, com tempo exercido de 5 minutos em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urbanos, como já ocorre com os táxis. Não obstante ao intento do legislador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municipal, o anexo I do Código de Trânsito Brasileiro-CTB define alguns conceitos dentre os quais cabe aqui a transcrição dos termos Estacionamento e Parada, sendo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Estacionam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ento: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imobilização de veículos por tempo superior ao necessário para embarque ou desembarque de passageiros</w:t>
      </w:r>
      <w:r>
        <w:rPr>
          <w:rFonts w:ascii="Times New Roman" w:eastAsia="Times New Roman" w:hAnsi="Times New Roman" w:cs="Times New Roman"/>
          <w:sz w:val="24"/>
          <w:szCs w:val="24"/>
        </w:rPr>
        <w:t>” e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Parada: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Imobilização do veículo com a finalidade e pelo tempo estritamente necessário para efetuar embarque ou desembarque de passageiros</w:t>
      </w:r>
      <w:r>
        <w:rPr>
          <w:rFonts w:ascii="Times New Roman" w:eastAsia="Times New Roman" w:hAnsi="Times New Roman" w:cs="Times New Roman"/>
          <w:sz w:val="24"/>
          <w:szCs w:val="24"/>
        </w:rPr>
        <w:t>.” Dest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feita e cientes da finalidade da referida Lei Municipal em assegurar o embarque e desembarque de passageiros e, no entanto, atentos às disposições do CTB vale asseverar que não cabe ao regramento municipal estipular tempo para Parada, posto que o CTB já </w:t>
      </w:r>
      <w:r>
        <w:rPr>
          <w:rFonts w:ascii="Times New Roman" w:eastAsia="Times New Roman" w:hAnsi="Times New Roman" w:cs="Times New Roman"/>
          <w:sz w:val="24"/>
          <w:szCs w:val="24"/>
        </w:rPr>
        <w:t>o fez ao deixar claro que é o tempo estrito ao embarque ou desembarque de passageiro, podendo até ser superior ao estipulado pela lei (e até mesmo inferior, o que é mais comum de ocorrer).</w:t>
      </w:r>
    </w:p>
    <w:p w:rsidR="00000000" w:rsidRDefault="001F6230">
      <w:pPr>
        <w:spacing w:line="360" w:lineRule="auto"/>
        <w:ind w:firstLine="720"/>
        <w:jc w:val="both"/>
      </w:pPr>
      <w:bookmarkStart w:id="6" w:name="_jn8xw3qo74yc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De modo consentâneo, o art. 2º determina que o Município terá que d</w:t>
      </w:r>
      <w:r>
        <w:rPr>
          <w:rFonts w:ascii="Times New Roman" w:eastAsia="Times New Roman" w:hAnsi="Times New Roman" w:cs="Times New Roman"/>
          <w:sz w:val="24"/>
          <w:szCs w:val="24"/>
        </w:rPr>
        <w:t>estinar aos motoristas de aplicativo, vagas em estacionamentos públicos e privados, e também em trânsito de vias especiais a exemplo de Aeroportos, praças, supermercados, rodoviária, lojas, avenidas, travessas, ruas dentre outros. A esse respeito insta 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zer à baila que a Resolução do Conselho Nacional de Trânsito - Contran nº 302/08, em seu art. 2º, define as seguintes áreas de estacionamento específicos,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verbis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I – Área de estacionamento para veículo de aluguel (para veículos de categoria de aluguel qu</w:t>
      </w:r>
      <w:r>
        <w:rPr>
          <w:rFonts w:ascii="Times New Roman" w:eastAsia="Times New Roman" w:hAnsi="Times New Roman" w:cs="Times New Roman"/>
        </w:rPr>
        <w:t>e prestam serviços públicos mediante concessão, permissão ou autorização do poder concedente), como, por exemplo, táxi ou veículo de transporte escolar;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II – Área de estacionamento para veículo de portador de deficiência física (para veículos conduzidos ou</w:t>
      </w:r>
      <w:r>
        <w:rPr>
          <w:rFonts w:ascii="Times New Roman" w:eastAsia="Times New Roman" w:hAnsi="Times New Roman" w:cs="Times New Roman"/>
        </w:rPr>
        <w:t xml:space="preserve"> que transportem portador de deficiência física, devidamente identificado e com autorização conforme legislação específica) – as regras para este tipo de estacionamento estão previstas na Resolução n. 304/08; 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III – Área de estacionamento para veículo de i</w:t>
      </w:r>
      <w:r>
        <w:rPr>
          <w:rFonts w:ascii="Times New Roman" w:eastAsia="Times New Roman" w:hAnsi="Times New Roman" w:cs="Times New Roman"/>
        </w:rPr>
        <w:t xml:space="preserve">doso (para veículos conduzidos ou que transportem idoso, devidamente identificado e com autorização conforme legislação específica) </w:t>
      </w:r>
      <w:r>
        <w:rPr>
          <w:rFonts w:ascii="Times New Roman" w:eastAsia="Times New Roman" w:hAnsi="Times New Roman" w:cs="Times New Roman"/>
        </w:rPr>
        <w:lastRenderedPageBreak/>
        <w:t xml:space="preserve">– as regras para este tipo de estacionamento estão previstas na Resolução n. 303/08; 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IV – Área de estacionamento para a ope</w:t>
      </w:r>
      <w:r>
        <w:rPr>
          <w:rFonts w:ascii="Times New Roman" w:eastAsia="Times New Roman" w:hAnsi="Times New Roman" w:cs="Times New Roman"/>
        </w:rPr>
        <w:t>ração de carga e descarga (para veículos imobilizados, pelo tempo estritamente necessário ao carregamento ou descarregamento de animais ou carga, na forma disciplinada pelo órgão ou entidade executivo de trânsito competente com circunscrição sobre a via);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V – Área de estacionamento de ambulância (parte da via sinalizada, próximo a hospitais, centros de atendimentos de emergência e locais estratégicos para o estacionamento exclusivo de ambulâncias devidamente identificadas);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VI – Área de estacionamento rotat</w:t>
      </w:r>
      <w:r>
        <w:rPr>
          <w:rFonts w:ascii="Times New Roman" w:eastAsia="Times New Roman" w:hAnsi="Times New Roman" w:cs="Times New Roman"/>
        </w:rPr>
        <w:t>ivo (parte da via sinalizada para o estacionamento de veículos, gratuito ou pago, regulamentado para um período determinado pelo órgão ou entidade com circunscrição sobre a via) – trata-se da chamada “zona azul” ou “área azul;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 xml:space="preserve">VII – Área de estacionamento </w:t>
      </w:r>
      <w:r>
        <w:rPr>
          <w:rFonts w:ascii="Times New Roman" w:eastAsia="Times New Roman" w:hAnsi="Times New Roman" w:cs="Times New Roman"/>
        </w:rPr>
        <w:t xml:space="preserve">de curta duração (parte da via sinalizada para estacionamento não pago, com uso obrigatório do pisca-alerta ativado, em período de tempo determinado e regulamentado de até 30 minutos) </w:t>
      </w:r>
    </w:p>
    <w:p w:rsidR="00000000" w:rsidRDefault="001F6230">
      <w:pPr>
        <w:widowControl w:val="0"/>
        <w:spacing w:after="0" w:line="360" w:lineRule="auto"/>
        <w:ind w:left="2835"/>
        <w:jc w:val="both"/>
      </w:pPr>
      <w:r>
        <w:rPr>
          <w:rFonts w:ascii="Times New Roman" w:eastAsia="Times New Roman" w:hAnsi="Times New Roman" w:cs="Times New Roman"/>
        </w:rPr>
        <w:t>VIII – Área de estacionamento de viaturas policiais (parte da via sinal</w:t>
      </w:r>
      <w:r>
        <w:rPr>
          <w:rFonts w:ascii="Times New Roman" w:eastAsia="Times New Roman" w:hAnsi="Times New Roman" w:cs="Times New Roman"/>
        </w:rPr>
        <w:t xml:space="preserve">izada, limitada à testada das instituições de segurança pública, para o estacionamento exclusivo de viaturas policiais devidamente caracterizadas) 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ind w:firstLine="141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Dito isso, oportuno se faz ressaltar que estas são as únicas situações para as quais a legislação de trânsit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em vigor permite a criação de vagas especiais de estacionamento, sendo irregular qualquer outra diferenciação, este fato está previsto expressamente no artigo 6º da mesma Resolução que diz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Fica vedado destinar parte da via para estacionamento privativo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 qualquer veículo em situações de uso não previstas nesta Resolução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ind w:firstLine="141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No dispositivo municipal em apreço, o art. 3º versa que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Além 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observância da legislação de trânsito e seus regulamentos, constitui liberação aos prestadores: I - Utilizar,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 qualqu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er modo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os pontos destinados ao serviço de transporte privado ou de embarque e desembarque de passageiros</w:t>
      </w:r>
      <w:r>
        <w:rPr>
          <w:rFonts w:ascii="Times New Roman" w:eastAsia="Times New Roman" w:hAnsi="Times New Roman" w:cs="Times New Roman"/>
          <w:sz w:val="24"/>
          <w:szCs w:val="24"/>
        </w:rPr>
        <w:t>.” Assim, produz-se no caso em exame uma liberalidade teratológica, visto que a amplitude inserta no trecho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 qualquer modo</w:t>
      </w:r>
      <w:r>
        <w:rPr>
          <w:rFonts w:ascii="Times New Roman" w:eastAsia="Times New Roman" w:hAnsi="Times New Roman" w:cs="Times New Roman"/>
          <w:sz w:val="24"/>
          <w:szCs w:val="24"/>
        </w:rPr>
        <w:t>” autoriza o uso indiscri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minado das vagas mencionadas. 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ind w:firstLine="141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inciso II do parágrafo ora referenciado encerra o seguinte texto: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 - Parar ou estacionar para fins de captação de passageiros com uso de aplicativos on line, geridos por operadoras cadastradas e autorizadas pelo Municípi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.” Nesse ponto é imperioso observar que, conforme bem define a Lei Federal nº 13.640/2018 (art. 4º, inc. X)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transporte remunerado privado individual de passageiros é um serviço remunerado de transporte de passageiros, não aberto ao público, para a real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ização de viagens individualizadas ou compartilhadas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solicitadas exclusivamente por usuários previamente cadastrados em aplicativos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ou outras plataformas de comunicação em rede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ind w:firstLine="141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Deste modo, fica evidente que o transporte por aplicativo, ao contrário do t</w:t>
      </w:r>
      <w:r>
        <w:rPr>
          <w:rFonts w:ascii="Times New Roman" w:eastAsia="Times New Roman" w:hAnsi="Times New Roman" w:cs="Times New Roman"/>
          <w:sz w:val="24"/>
          <w:szCs w:val="24"/>
        </w:rPr>
        <w:t>áxi, é um transporte por demanda cuja solicitação deve ser exclusivamente demandada por meio de aplicativo. Considere-se ainda, por exemplo, que o fato de haver três veículos estacionados e um usuário solicitar pela plataforma do aplicativo uma corrida, nã</w:t>
      </w:r>
      <w:r>
        <w:rPr>
          <w:rFonts w:ascii="Times New Roman" w:eastAsia="Times New Roman" w:hAnsi="Times New Roman" w:cs="Times New Roman"/>
          <w:sz w:val="24"/>
          <w:szCs w:val="24"/>
        </w:rPr>
        <w:t>o implica que o veículo escolhido pela plataforma seja um dentre aqueles ali estacionados.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Há, por fim, que se ponderar ainda algo substancial acerca do dispositivo legal em análise, qual seja, o fato de o art. 22 da Constituição Federal, trazer o rol 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matérias cuja legislação seja de competência privativa da União, encontrando-se o trânsito e o transporte no inciso XI do artigo. Daí, dizer-se que compete privativamente à União legislar sobre trânsito e transporte, impossibilitados os estados-membros e </w:t>
      </w:r>
      <w:r>
        <w:rPr>
          <w:rFonts w:ascii="Times New Roman" w:eastAsia="Times New Roman" w:hAnsi="Times New Roman" w:cs="Times New Roman"/>
          <w:sz w:val="24"/>
          <w:szCs w:val="24"/>
        </w:rPr>
        <w:t>municípios de legislar sobre a matéria enquanto não autorizados por Lei Complementar.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 xml:space="preserve">Cumpre citar aqui alguns aspectos da Lei Federal 12.587/2012 para clarear como é sistema de Mobilidade Urbana, a citada lei estabelece em seu art. 3º </w:t>
      </w:r>
      <w:r>
        <w:rPr>
          <w:rFonts w:ascii="Times" w:eastAsia="Times" w:hAnsi="Times" w:cs="Times"/>
          <w:sz w:val="24"/>
          <w:szCs w:val="24"/>
        </w:rPr>
        <w:lastRenderedPageBreak/>
        <w:t>que o sistema nacio</w:t>
      </w:r>
      <w:r>
        <w:rPr>
          <w:rFonts w:ascii="Times" w:eastAsia="Times" w:hAnsi="Times" w:cs="Times"/>
          <w:sz w:val="24"/>
          <w:szCs w:val="24"/>
        </w:rPr>
        <w:t xml:space="preserve">nal  de mobilidade urbana é o conjunto organizado e coordenado dos modos de transporte de  serviços e de infraestrutura que garante o deslocamento de pessoas e cargas no território do  Município.  </w:t>
      </w:r>
    </w:p>
    <w:p w:rsidR="00000000" w:rsidRDefault="001F6230">
      <w:pPr>
        <w:widowControl w:val="0"/>
        <w:tabs>
          <w:tab w:val="left" w:pos="1701"/>
        </w:tabs>
        <w:spacing w:before="240" w:after="240" w:line="360" w:lineRule="auto"/>
        <w:jc w:val="both"/>
      </w:pPr>
      <w:r>
        <w:rPr>
          <w:rFonts w:ascii="Times" w:eastAsia="Times" w:hAnsi="Times" w:cs="Times"/>
          <w:sz w:val="24"/>
          <w:szCs w:val="24"/>
        </w:rPr>
        <w:tab/>
        <w:t>Classifica em seu §2º os serviços de transporte urbano, q</w:t>
      </w:r>
      <w:r>
        <w:rPr>
          <w:rFonts w:ascii="Times" w:eastAsia="Times" w:hAnsi="Times" w:cs="Times"/>
          <w:sz w:val="24"/>
          <w:szCs w:val="24"/>
        </w:rPr>
        <w:t xml:space="preserve">uais sejam:  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>“</w:t>
      </w:r>
      <w:r>
        <w:rPr>
          <w:rFonts w:ascii="Times" w:eastAsia="Times" w:hAnsi="Times" w:cs="Times"/>
          <w:i/>
        </w:rPr>
        <w:t xml:space="preserve">I – quanto ao objeto:  </w:t>
      </w:r>
    </w:p>
    <w:p w:rsidR="00000000" w:rsidRDefault="001F6230">
      <w:pPr>
        <w:widowControl w:val="0"/>
        <w:spacing w:before="135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a) de passageiros;  </w:t>
      </w:r>
    </w:p>
    <w:p w:rsidR="00000000" w:rsidRDefault="001F6230">
      <w:pPr>
        <w:widowControl w:val="0"/>
        <w:spacing w:before="168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b) de cargas.  </w:t>
      </w:r>
    </w:p>
    <w:p w:rsidR="00000000" w:rsidRDefault="001F6230">
      <w:pPr>
        <w:widowControl w:val="0"/>
        <w:spacing w:before="168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II – quanto à característica do serviço:  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a) coletivo;  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>b) individual.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  <w:i/>
        </w:rPr>
        <w:t xml:space="preserve">III – quanto à natureza do serviço:  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a) público;  </w:t>
      </w:r>
    </w:p>
    <w:p w:rsidR="00000000" w:rsidRDefault="001F6230">
      <w:pPr>
        <w:widowControl w:val="0"/>
        <w:spacing w:before="132" w:after="0" w:line="240" w:lineRule="auto"/>
        <w:ind w:left="2267"/>
        <w:jc w:val="both"/>
      </w:pPr>
      <w:r>
        <w:rPr>
          <w:rFonts w:ascii="Times" w:eastAsia="Times" w:hAnsi="Times" w:cs="Times"/>
          <w:i/>
        </w:rPr>
        <w:t xml:space="preserve">b) privado.  </w:t>
      </w:r>
    </w:p>
    <w:p w:rsidR="00000000" w:rsidRDefault="001F6230">
      <w:pPr>
        <w:widowControl w:val="0"/>
        <w:spacing w:before="547" w:after="0" w:line="338" w:lineRule="auto"/>
        <w:ind w:left="720" w:right="99" w:firstLine="720"/>
        <w:jc w:val="both"/>
      </w:pPr>
      <w:r>
        <w:rPr>
          <w:rFonts w:ascii="Times" w:eastAsia="Times" w:hAnsi="Times" w:cs="Times"/>
          <w:sz w:val="24"/>
          <w:szCs w:val="24"/>
        </w:rPr>
        <w:t xml:space="preserve">E o art. 6º estabelece em seu inciso II </w:t>
      </w:r>
      <w:r>
        <w:rPr>
          <w:rFonts w:ascii="Times" w:eastAsia="Times" w:hAnsi="Times" w:cs="Times"/>
          <w:sz w:val="24"/>
          <w:szCs w:val="24"/>
        </w:rPr>
        <w:t>que sempre haverá a prioridade de transporte  público coletivo sobre o transporte individual</w:t>
      </w:r>
    </w:p>
    <w:p w:rsidR="00000000" w:rsidRDefault="001F6230">
      <w:pPr>
        <w:widowControl w:val="0"/>
        <w:spacing w:before="547" w:after="0" w:line="338" w:lineRule="auto"/>
        <w:ind w:right="99" w:firstLine="720"/>
        <w:jc w:val="both"/>
      </w:pPr>
      <w:r>
        <w:rPr>
          <w:rFonts w:ascii="Times" w:eastAsia="Times" w:hAnsi="Times" w:cs="Times"/>
          <w:sz w:val="24"/>
          <w:szCs w:val="24"/>
        </w:rPr>
        <w:t>Faz mister, esclarecer que os serviços de táxi e de aplicativos apesar de “parecerem”  coletivos são de uso personalizado e até pode-se dizer individual pela sua f</w:t>
      </w:r>
      <w:r>
        <w:rPr>
          <w:rFonts w:ascii="Times" w:eastAsia="Times" w:hAnsi="Times" w:cs="Times"/>
          <w:sz w:val="24"/>
          <w:szCs w:val="24"/>
        </w:rPr>
        <w:t>orma que é um  contrato da viagem sem uma tarifa pré-estabelecida pois só se saberá o valor a ser pago ao  final da viagem do usuário e ainda o número de passageiros transportados ou é individual ou  deveras reduzido pois não é um ônibus, e o ponto de para</w:t>
      </w:r>
      <w:r>
        <w:rPr>
          <w:rFonts w:ascii="Times" w:eastAsia="Times" w:hAnsi="Times" w:cs="Times"/>
          <w:sz w:val="24"/>
          <w:szCs w:val="24"/>
        </w:rPr>
        <w:t xml:space="preserve">da final é estabelecido pelo  contratante/usuário da viagem.  E quanto ao transporte público individual de passageiros a Lei Federal é clara,  vejamos:  </w:t>
      </w:r>
    </w:p>
    <w:p w:rsidR="00000000" w:rsidRDefault="001F6230">
      <w:pPr>
        <w:widowControl w:val="0"/>
        <w:spacing w:before="31" w:after="0" w:line="240" w:lineRule="auto"/>
        <w:ind w:left="2267" w:right="93"/>
        <w:jc w:val="both"/>
      </w:pPr>
      <w:r>
        <w:rPr>
          <w:rFonts w:ascii="Times" w:eastAsia="Times" w:hAnsi="Times" w:cs="Times"/>
          <w:i/>
          <w:sz w:val="24"/>
          <w:szCs w:val="24"/>
        </w:rPr>
        <w:t>“</w:t>
      </w:r>
      <w:r>
        <w:rPr>
          <w:rFonts w:ascii="Times" w:eastAsia="Times" w:hAnsi="Times" w:cs="Times"/>
        </w:rPr>
        <w:t>Art. 11. Os serviços de transporte privado coletivo, prestados entre pessoas físicas  ou jurídicas, d</w:t>
      </w:r>
      <w:r>
        <w:rPr>
          <w:rFonts w:ascii="Times" w:eastAsia="Times" w:hAnsi="Times" w:cs="Times"/>
        </w:rPr>
        <w:t xml:space="preserve">everão ser autorizados, disciplinados e fiscalizados pelo poder  público competente, com base nos princípios e diretrizes desta Lei. (Grifo nosso)  Art. 11-A. Compete exclusivamente aos Municípios e ao Distrito Federal  regulamentar e fiscalizar o serviço </w:t>
      </w:r>
      <w:r>
        <w:rPr>
          <w:rFonts w:ascii="Times" w:eastAsia="Times" w:hAnsi="Times" w:cs="Times"/>
        </w:rPr>
        <w:t>de transporte remunerado privado individual de  passageiros previsto no inciso X do art. 4º desta Lei no âmbito dos seus territórios.  (Grifo nosso). (Incluído pela Lei nº 13.640, de 2018)</w:t>
      </w:r>
      <w:r>
        <w:rPr>
          <w:rFonts w:ascii="Times" w:eastAsia="Times" w:hAnsi="Times" w:cs="Times"/>
          <w:i/>
          <w:sz w:val="24"/>
          <w:szCs w:val="24"/>
        </w:rPr>
        <w:t xml:space="preserve">  </w:t>
      </w:r>
    </w:p>
    <w:p w:rsidR="00000000" w:rsidRDefault="001F6230">
      <w:pPr>
        <w:widowControl w:val="0"/>
        <w:spacing w:before="443" w:after="0" w:line="360" w:lineRule="auto"/>
        <w:ind w:firstLine="720"/>
        <w:jc w:val="both"/>
      </w:pPr>
      <w:r>
        <w:rPr>
          <w:rFonts w:ascii="Times" w:eastAsia="Times" w:hAnsi="Times" w:cs="Times"/>
          <w:sz w:val="24"/>
          <w:szCs w:val="24"/>
        </w:rPr>
        <w:lastRenderedPageBreak/>
        <w:t xml:space="preserve"> </w:t>
      </w:r>
      <w:r>
        <w:rPr>
          <w:rFonts w:ascii="Times" w:eastAsia="Times" w:hAnsi="Times" w:cs="Times"/>
          <w:sz w:val="24"/>
          <w:szCs w:val="24"/>
        </w:rPr>
        <w:t>Assim, no art. 12 em sua primeira parte não faz restar dúvida “o</w:t>
      </w:r>
      <w:r>
        <w:rPr>
          <w:rFonts w:ascii="Times" w:eastAsia="Times" w:hAnsi="Times" w:cs="Times"/>
          <w:sz w:val="24"/>
          <w:szCs w:val="24"/>
        </w:rPr>
        <w:t>s serviços de utilidade pública de transporte individual de passageiros  deverão ser organizados, disciplinados e fiscalizados pelo poder público municipal”, isto posto, resta límpido e cristalino conforme disciplina a Lei Federal 12.587/12, que  a competê</w:t>
      </w:r>
      <w:r>
        <w:rPr>
          <w:rFonts w:ascii="Times" w:eastAsia="Times" w:hAnsi="Times" w:cs="Times"/>
          <w:sz w:val="24"/>
          <w:szCs w:val="24"/>
        </w:rPr>
        <w:t xml:space="preserve">ncia para regulamentar e fiscalizar e </w:t>
      </w:r>
      <w:r>
        <w:rPr>
          <w:rFonts w:ascii="Times" w:eastAsia="Times" w:hAnsi="Times" w:cs="Times"/>
          <w:i/>
          <w:sz w:val="24"/>
          <w:szCs w:val="24"/>
        </w:rPr>
        <w:t xml:space="preserve">in casu </w:t>
      </w:r>
      <w:r>
        <w:rPr>
          <w:rFonts w:ascii="Times" w:eastAsia="Times" w:hAnsi="Times" w:cs="Times"/>
          <w:sz w:val="24"/>
          <w:szCs w:val="24"/>
        </w:rPr>
        <w:t xml:space="preserve">estabelecer pontos de parada é de ordem do Poder Público Municipal, Município de Vitória da Conquista por seu órgão gestor a  Secretaria de Mobilidade Urbana. </w:t>
      </w:r>
    </w:p>
    <w:p w:rsidR="00000000" w:rsidRDefault="001F6230">
      <w:pPr>
        <w:widowControl w:val="0"/>
        <w:spacing w:before="443" w:after="0" w:line="360" w:lineRule="auto"/>
        <w:ind w:firstLine="720"/>
        <w:jc w:val="both"/>
      </w:pP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A Lei 1.383 infringe a hierarquia das normas e va</w:t>
      </w:r>
      <w:r>
        <w:rPr>
          <w:rFonts w:ascii="Times" w:eastAsia="Times" w:hAnsi="Times" w:cs="Times"/>
          <w:sz w:val="24"/>
          <w:szCs w:val="24"/>
        </w:rPr>
        <w:t xml:space="preserve">i de encontro à Lei Federal não podendo desta forma produzir efeitos e sendo uma rompante e ainda ousada ilegalidade a Lei  de Mobilidade Urbana.  </w:t>
      </w:r>
    </w:p>
    <w:p w:rsidR="00000000" w:rsidRDefault="001F6230">
      <w:pPr>
        <w:widowControl w:val="0"/>
        <w:spacing w:before="443" w:after="0" w:line="360" w:lineRule="auto"/>
        <w:ind w:firstLine="720"/>
        <w:jc w:val="both"/>
      </w:pPr>
      <w:r>
        <w:rPr>
          <w:rFonts w:ascii="Times" w:eastAsia="Times" w:hAnsi="Times" w:cs="Times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de todo o exposto, tais razões levam-nos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VETAR TOTALMENTE,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Lei nº 1.383, de 18 de novembro de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pela inviabilidade com base na Lei Orgânica Municipal, Constituição Federal/88 e Lei Federal 12.587/2012, cuja medida deverá ser apreciada por Vossa Excelência e demais Ilustres Vereadores. </w:t>
      </w:r>
    </w:p>
    <w:p w:rsidR="00000000" w:rsidRDefault="001F6230">
      <w:pPr>
        <w:spacing w:line="360" w:lineRule="auto"/>
        <w:ind w:firstLine="709"/>
        <w:jc w:val="both"/>
      </w:pPr>
      <w:bookmarkStart w:id="7" w:name="_h90sv8f1k1lu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Sendo o que se apresenta para o momento, aproveitamos o ensejo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reiterar-lhe votos de estima e consideração .</w:t>
      </w:r>
    </w:p>
    <w:p w:rsidR="00000000" w:rsidRDefault="001F6230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:rsidR="00000000" w:rsidRDefault="001F6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F6230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Herzem Gusmão Pereira</w:t>
      </w:r>
    </w:p>
    <w:p w:rsidR="00000000" w:rsidRDefault="001F6230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5" w:right="1701" w:bottom="1417" w:left="1842" w:header="708" w:footer="488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6230">
      <w:pPr>
        <w:spacing w:after="0" w:line="240" w:lineRule="auto"/>
      </w:pPr>
      <w:r>
        <w:separator/>
      </w:r>
    </w:p>
  </w:endnote>
  <w:endnote w:type="continuationSeparator" w:id="0">
    <w:p w:rsidR="00000000" w:rsidRDefault="001F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230" w:rsidRDefault="001F62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-635000</wp:posOffset>
              </wp:positionH>
              <wp:positionV relativeFrom="paragraph">
                <wp:posOffset>68580</wp:posOffset>
              </wp:positionV>
              <wp:extent cx="6940550" cy="57150"/>
              <wp:effectExtent l="0" t="0" r="12700" b="0"/>
              <wp:wrapNone/>
              <wp:docPr id="4" name="Figur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0550" cy="57150"/>
                      </a:xfrm>
                      <a:prstGeom prst="straightConnector1">
                        <a:avLst/>
                      </a:prstGeom>
                      <a:noFill/>
                      <a:ln w="19080" cap="flat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6888B" id="_x0000_t32" coordsize="21600,21600" o:spt="32" o:oned="t" path="m,l21600,21600e" filled="f">
              <v:path arrowok="t" fillok="f" o:connecttype="none"/>
              <o:lock v:ext="edit" shapetype="t"/>
            </v:shapetype>
            <v:shape id="Figura2" o:spid="_x0000_s1026" type="#_x0000_t32" style="position:absolute;margin-left:-50pt;margin-top:5.4pt;width:546.5pt;height: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" strokecolor="white" strokeweight=".53mm">
              <o:lock v:ext="edit" shapetype="f"/>
            </v:shape>
          </w:pict>
        </mc:Fallback>
      </mc:AlternateContent>
    </w:r>
  </w:p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Pç. Joaquim Correia, 55 - Centro</w:t>
    </w:r>
  </w:p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Fone: (77) 3424-8500</w:t>
    </w:r>
  </w:p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CEP 45000-907 - Vitória da Conquista - Bahia</w:t>
    </w:r>
  </w:p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</w:pPr>
    <w:r>
      <w:rPr>
        <w:rFonts w:ascii="Arial" w:eastAsia="Arial" w:hAnsi="Arial" w:cs="Arial"/>
        <w:color w:val="000000"/>
        <w:sz w:val="18"/>
        <w:szCs w:val="18"/>
      </w:rPr>
      <w:t>www.pmvc.ba.gov.br</w:t>
    </w:r>
  </w:p>
  <w:p w:rsidR="00000000" w:rsidRDefault="001F62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-709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6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6230">
      <w:pPr>
        <w:spacing w:after="0" w:line="240" w:lineRule="auto"/>
      </w:pPr>
      <w:r>
        <w:separator/>
      </w:r>
    </w:p>
  </w:footnote>
  <w:footnote w:type="continuationSeparator" w:id="0">
    <w:p w:rsidR="00000000" w:rsidRDefault="001F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230" w:rsidRDefault="001F62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623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1F62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rules v:ext="edit">
        <o:r id="V:Rule2" type="connector" idref="#Figura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30"/>
    <w:rsid w:val="001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923E2F8-8B67-FB4F-A5B5-D85F8114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8949</Characters>
  <Application>Microsoft Office Word</Application>
  <DocSecurity>0</DocSecurity>
  <Lines>74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pgmgeral01</dc:creator>
  <cp:keywords/>
  <cp:lastModifiedBy>Giselle Trindade</cp:lastModifiedBy>
  <cp:revision>2</cp:revision>
  <cp:lastPrinted>1995-11-21T20:41:00Z</cp:lastPrinted>
  <dcterms:created xsi:type="dcterms:W3CDTF">2020-12-15T17:56:00Z</dcterms:created>
  <dcterms:modified xsi:type="dcterms:W3CDTF">2020-12-15T17:56:00Z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