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71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9"/>
      </w:tblGrid>
      <w:tr>
        <w:trPr/>
        <w:tc>
          <w:tcPr>
            <w:tcW w:w="8719" w:type="dxa"/>
            <w:tcBorders/>
            <w:shd w:fill="FFFFFF" w:val="clear"/>
          </w:tcPr>
          <w:p>
            <w:pPr>
              <w:pStyle w:val="Cabealho"/>
              <w:snapToGrid w:val="false"/>
              <w:rPr/>
            </w:pPr>
            <w:r>
              <w:rPr/>
              <w:drawing>
                <wp:inline distT="0" distB="0" distL="0" distR="0">
                  <wp:extent cx="3048000" cy="567055"/>
                  <wp:effectExtent l="0" t="0" r="0" b="0"/>
                  <wp:docPr id="1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5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8719" w:type="dxa"/>
            <w:tcBorders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Cabealho"/>
              <w:rPr>
                <w:rFonts w:ascii="Verdana" w:hAnsi="Verdana" w:cs="Verdana"/>
                <w:b/>
                <w:b/>
              </w:rPr>
            </w:pPr>
            <w:r>
              <w:rPr>
                <w:rFonts w:cs="Verdana" w:ascii="Verdana" w:hAnsi="Verdana"/>
                <w:b/>
              </w:rPr>
              <w:t>Secretaria-Geral</w:t>
            </w:r>
          </w:p>
        </w:tc>
      </w:tr>
    </w:tbl>
    <w:p>
      <w:pPr>
        <w:pStyle w:val="Ttulo1"/>
        <w:tabs>
          <w:tab w:val="left" w:pos="5317" w:leader="none"/>
        </w:tabs>
        <w:spacing w:lineRule="auto" w:line="276" w:before="92" w:after="0"/>
        <w:rPr/>
      </w:pPr>
      <w:r>
        <w:rPr/>
      </w:r>
    </w:p>
    <w:p>
      <w:pPr>
        <w:pStyle w:val="Ttulo1"/>
        <w:tabs>
          <w:tab w:val="left" w:pos="5317" w:leader="none"/>
        </w:tabs>
        <w:spacing w:lineRule="auto" w:line="276" w:before="92" w:after="0"/>
        <w:rPr/>
      </w:pPr>
      <w:bookmarkStart w:id="0" w:name="__DdeLink__1079_395091779"/>
      <w:r>
        <w:rPr/>
        <w:t>PROJETO DE</w:t>
      </w:r>
      <w:r>
        <w:rPr>
          <w:spacing w:val="-3"/>
        </w:rPr>
        <w:t xml:space="preserve"> </w:t>
      </w:r>
      <w:r>
        <w:rPr/>
        <w:t>LEI</w:t>
      </w:r>
      <w:r>
        <w:rPr>
          <w:spacing w:val="-3"/>
        </w:rPr>
        <w:t xml:space="preserve"> </w:t>
      </w:r>
      <w:r>
        <w:rPr/>
        <w:t>Nº , DE</w:t>
      </w:r>
      <w:r>
        <w:rPr>
          <w:spacing w:val="1"/>
        </w:rPr>
        <w:t xml:space="preserve"> </w:t>
      </w:r>
      <w:bookmarkEnd w:id="0"/>
      <w:r>
        <w:rPr/>
        <w:t>2018</w:t>
      </w:r>
    </w:p>
    <w:p>
      <w:pPr>
        <w:pStyle w:val="Corpodetexto"/>
        <w:spacing w:lineRule="auto" w:line="276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rpodetexto"/>
        <w:spacing w:lineRule="auto" w:line="276" w:before="9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rpodetexto"/>
        <w:spacing w:lineRule="auto" w:line="276"/>
        <w:ind w:left="3844" w:right="119" w:firstLine="720"/>
        <w:jc w:val="both"/>
        <w:rPr>
          <w:sz w:val="24"/>
          <w:szCs w:val="24"/>
        </w:rPr>
      </w:pPr>
      <w:r>
        <w:rPr>
          <w:sz w:val="24"/>
          <w:szCs w:val="24"/>
        </w:rPr>
        <w:t>Dispõe sobre a cobrança por tempo fracionado nos estacionamentos de veículos automotores, e dá outras providências.</w:t>
      </w:r>
    </w:p>
    <w:p>
      <w:pPr>
        <w:pStyle w:val="Corpodetexto"/>
        <w:spacing w:lineRule="auto" w:line="276" w:before="6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spacing w:lineRule="auto" w:line="276"/>
        <w:ind w:left="102" w:right="120" w:firstLine="2302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É obrigatório aos estabelecimentos particulares  que prestam serviços de estacionamentos a adoção de sistema de cobrança por tempo fracionado, durante o período de permanência dos veículos.</w:t>
      </w:r>
    </w:p>
    <w:p>
      <w:pPr>
        <w:pStyle w:val="Normal"/>
        <w:spacing w:lineRule="auto" w:line="276"/>
        <w:ind w:left="0" w:right="0" w:firstLine="2404"/>
        <w:jc w:val="both"/>
        <w:rPr>
          <w:sz w:val="24"/>
          <w:szCs w:val="24"/>
        </w:rPr>
      </w:pPr>
      <w:r>
        <w:rPr>
          <w:b/>
          <w:sz w:val="24"/>
          <w:szCs w:val="24"/>
        </w:rPr>
        <w:t>Parágrafo único -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Para efeitos desta lei entende-se por estacionamento particular, o estabelecimento comercial destinado a permanência temporária de veículos motorizados, mediante pagamento de valor equivalente ao período de permanência, ainda que exercendo atividade subsidiária a outro estabelecimento comercial.</w:t>
      </w:r>
    </w:p>
    <w:p>
      <w:pPr>
        <w:pStyle w:val="Corpodetexto"/>
        <w:spacing w:lineRule="auto" w:line="276" w:before="203" w:after="0"/>
        <w:ind w:left="102" w:right="115" w:firstLine="230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O sistema de cobrança fracionada terá como base parcelas de 15 (quinze) minutos, sendo o valor de cada parcela estipulado pela divisão do preço atual cobrado pelo período de 1 (uma) hora por 4 (quatro) partes.</w:t>
      </w:r>
    </w:p>
    <w:p>
      <w:pPr>
        <w:pStyle w:val="Corpodetexto"/>
        <w:spacing w:lineRule="auto" w:line="276" w:before="208" w:after="0"/>
        <w:ind w:left="102" w:right="120" w:firstLine="2302"/>
        <w:jc w:val="both"/>
        <w:rPr>
          <w:sz w:val="24"/>
          <w:szCs w:val="24"/>
        </w:rPr>
      </w:pPr>
      <w:r>
        <w:rPr>
          <w:b/>
          <w:sz w:val="24"/>
          <w:szCs w:val="24"/>
        </w:rPr>
        <w:t>§ 1º</w:t>
      </w:r>
      <w:r>
        <w:rPr>
          <w:sz w:val="24"/>
          <w:szCs w:val="24"/>
        </w:rPr>
        <w:t xml:space="preserve"> O cálculo do valor a ser cobrado será feito multiplicando-se o número de parcelas correspondentes à permanência de cada veículo automotor pelo valor encontrado, conforme o caput deste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artigo.</w:t>
      </w:r>
    </w:p>
    <w:p>
      <w:pPr>
        <w:pStyle w:val="Corpodetexto"/>
        <w:spacing w:lineRule="auto" w:line="276" w:before="224" w:after="0"/>
        <w:ind w:left="102" w:right="122" w:firstLine="2302"/>
        <w:jc w:val="both"/>
        <w:rPr>
          <w:sz w:val="24"/>
          <w:szCs w:val="24"/>
        </w:rPr>
      </w:pPr>
      <w:r>
        <w:rPr>
          <w:b/>
          <w:sz w:val="24"/>
          <w:szCs w:val="24"/>
        </w:rPr>
        <w:t>§ 2º</w:t>
      </w:r>
      <w:r>
        <w:rPr>
          <w:sz w:val="24"/>
          <w:szCs w:val="24"/>
        </w:rPr>
        <w:t xml:space="preserve"> No caso de o período de permanência compreender parcela que não inteire 15 (quinze) minutos, a cobrança será feita segundo a fórmula de arredondamento aritmético, da seguinte forma:</w:t>
      </w:r>
    </w:p>
    <w:p>
      <w:pPr>
        <w:pStyle w:val="ListParagraph"/>
        <w:numPr>
          <w:ilvl w:val="0"/>
          <w:numId w:val="1"/>
        </w:numPr>
        <w:tabs>
          <w:tab w:val="left" w:pos="2565" w:leader="none"/>
        </w:tabs>
        <w:spacing w:lineRule="auto" w:line="276"/>
        <w:ind w:left="102" w:right="124" w:firstLine="2302"/>
        <w:jc w:val="both"/>
        <w:rPr>
          <w:sz w:val="24"/>
          <w:szCs w:val="24"/>
        </w:rPr>
      </w:pPr>
      <w:r>
        <w:rPr>
          <w:sz w:val="24"/>
          <w:szCs w:val="24"/>
        </w:rPr>
        <w:t>- a parcela de tempo inferior ou igual a sete minutos e vinte e nove segundos será desconsiderada para o cômputo do valor a ser cobrado pela permanência dos veículos;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</w:p>
    <w:p>
      <w:pPr>
        <w:pStyle w:val="ListParagraph"/>
        <w:numPr>
          <w:ilvl w:val="0"/>
          <w:numId w:val="1"/>
        </w:numPr>
        <w:tabs>
          <w:tab w:val="left" w:pos="2616" w:leader="none"/>
        </w:tabs>
        <w:spacing w:lineRule="auto" w:line="276" w:before="205" w:after="0"/>
        <w:ind w:left="102" w:right="124" w:firstLine="2302"/>
        <w:jc w:val="both"/>
        <w:rPr>
          <w:sz w:val="24"/>
          <w:szCs w:val="24"/>
        </w:rPr>
      </w:pPr>
      <w:r>
        <w:rPr>
          <w:sz w:val="24"/>
          <w:szCs w:val="24"/>
        </w:rPr>
        <w:t>- a parcela de tempo superior ou igual a sete minutos e trinta segundos será considerada como uma parcela de quinze minutos para o cômputo do valor a ser cobrado pela permanência dos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veículos.</w:t>
      </w:r>
    </w:p>
    <w:p>
      <w:pPr>
        <w:pStyle w:val="ListParagraph"/>
        <w:spacing w:lineRule="auto" w:line="276"/>
        <w:ind w:left="102" w:right="124" w:firstLine="2160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§ 3º </w:t>
      </w:r>
      <w:r>
        <w:rPr>
          <w:rFonts w:eastAsia="Calibri"/>
          <w:sz w:val="24"/>
          <w:szCs w:val="24"/>
        </w:rPr>
        <w:t xml:space="preserve">Fica excluída a obrigação de fracionamento dos valores, quando se tratar de contratação do serviço na modalidade “mensalista” ou “diarista”. </w:t>
      </w:r>
    </w:p>
    <w:p>
      <w:pPr>
        <w:pStyle w:val="ListParagraph"/>
        <w:spacing w:lineRule="auto" w:line="276"/>
        <w:ind w:left="102" w:right="124" w:firstLine="2160"/>
        <w:rPr>
          <w:rFonts w:eastAsia="Calibri"/>
        </w:rPr>
      </w:pPr>
      <w:r>
        <w:rPr>
          <w:sz w:val="24"/>
          <w:szCs w:val="24"/>
        </w:rPr>
      </w:r>
    </w:p>
    <w:p>
      <w:pPr>
        <w:pStyle w:val="Corpodetexto"/>
        <w:spacing w:lineRule="auto" w:line="276" w:before="196" w:after="0"/>
        <w:ind w:left="102" w:right="117" w:firstLine="2302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Os estabelecimentos particulares em funcionamento deverão manter, em local visível externo, junto ao aviso do valor a ser cobrado pelo período de permanência correspondente a 1 (uma) hora, o valor a ser cobrado pelo período de permanência equivalente à parcela de 15 (quinze)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minutos.</w:t>
      </w:r>
    </w:p>
    <w:p>
      <w:pPr>
        <w:pStyle w:val="Corpodetexto"/>
        <w:spacing w:lineRule="auto" w:line="276" w:before="205" w:after="0"/>
        <w:ind w:left="102" w:right="118" w:firstLine="2302"/>
        <w:jc w:val="both"/>
        <w:rPr>
          <w:sz w:val="24"/>
          <w:szCs w:val="24"/>
        </w:rPr>
      </w:pPr>
      <w:r>
        <w:rPr>
          <w:b/>
          <w:sz w:val="24"/>
          <w:szCs w:val="24"/>
        </w:rPr>
        <w:t>§ 1º</w:t>
      </w:r>
      <w:r>
        <w:rPr>
          <w:sz w:val="24"/>
          <w:szCs w:val="24"/>
        </w:rPr>
        <w:t xml:space="preserve"> A forma de veiculação da informação do valor a ser cobrado pelo período equivalente a 15 (quinze) minutos deverá ter as mesmas dimensões, formato e tamanho de fonte que integram o aviso do valor a ser cobrado pelo período de permanência correspondente a 1 (uma) hora, tornando possível sua fácil e ampla visualização pelo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público.</w:t>
      </w:r>
    </w:p>
    <w:p>
      <w:pPr>
        <w:pStyle w:val="Corpodetexto"/>
        <w:spacing w:lineRule="auto" w:line="276" w:before="208" w:after="0"/>
        <w:ind w:left="102" w:right="115" w:firstLine="2302"/>
        <w:jc w:val="both"/>
        <w:rPr>
          <w:sz w:val="24"/>
          <w:szCs w:val="24"/>
        </w:rPr>
      </w:pPr>
      <w:r>
        <w:rPr>
          <w:b/>
          <w:sz w:val="24"/>
          <w:szCs w:val="24"/>
        </w:rPr>
        <w:t>§ 2º</w:t>
      </w:r>
      <w:r>
        <w:rPr>
          <w:sz w:val="24"/>
          <w:szCs w:val="24"/>
        </w:rPr>
        <w:t xml:space="preserve"> Além da indicação dos valores descritos no </w:t>
      </w:r>
      <w:r>
        <w:rPr>
          <w:i/>
          <w:sz w:val="24"/>
          <w:szCs w:val="24"/>
        </w:rPr>
        <w:t>caput</w:t>
      </w:r>
      <w:r>
        <w:rPr>
          <w:sz w:val="24"/>
          <w:szCs w:val="24"/>
        </w:rPr>
        <w:t>, deverá ser fixada tabela de preços no interior dos estabelecimentos, contendo a forma de arredondamento aritmético das parcelas de tempo inferior a 15 (quinze) minutos, prevista nesta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lei.</w:t>
      </w:r>
    </w:p>
    <w:p>
      <w:pPr>
        <w:pStyle w:val="Corpodetextorecuado"/>
        <w:spacing w:lineRule="auto" w:line="276" w:before="0" w:after="0"/>
        <w:ind w:left="0" w:right="0" w:firstLine="2421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4º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O descumprimento desta Lei sujeita o infrator às seguintes penalidades: </w:t>
      </w:r>
    </w:p>
    <w:p>
      <w:pPr>
        <w:pStyle w:val="Corpodetextorecuado"/>
        <w:spacing w:lineRule="auto" w:line="276" w:before="0" w:after="0"/>
        <w:ind w:left="1701" w:right="0" w:hanging="0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I. </w:t>
      </w:r>
      <w:r>
        <w:rPr>
          <w:rFonts w:eastAsia="Calibri"/>
          <w:sz w:val="24"/>
          <w:szCs w:val="24"/>
        </w:rPr>
        <w:t xml:space="preserve">advertência; </w:t>
      </w:r>
    </w:p>
    <w:p>
      <w:pPr>
        <w:pStyle w:val="Corpodetextorecuado"/>
        <w:spacing w:lineRule="auto" w:line="276" w:before="0" w:after="0"/>
        <w:ind w:left="1701" w:right="0" w:hanging="0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II. </w:t>
      </w:r>
      <w:r>
        <w:rPr>
          <w:rFonts w:eastAsia="Calibri"/>
          <w:sz w:val="24"/>
          <w:szCs w:val="24"/>
        </w:rPr>
        <w:t>multa na proporção de R$ 1.000,00 (hum mil reais), se reincidente e R$ 5.000,00 (cinco mil reais) pela segunda vez reincidente;</w:t>
      </w:r>
    </w:p>
    <w:p>
      <w:pPr>
        <w:pStyle w:val="Corpodetextorecuado"/>
        <w:spacing w:lineRule="auto" w:line="276" w:before="0" w:after="0"/>
        <w:ind w:left="1701" w:right="0" w:hanging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III. </w:t>
      </w:r>
      <w:r>
        <w:rPr>
          <w:rFonts w:eastAsia="Calibri"/>
          <w:b w:val="false"/>
          <w:bCs w:val="false"/>
          <w:sz w:val="24"/>
          <w:szCs w:val="24"/>
        </w:rPr>
        <w:t>Interdição</w:t>
      </w:r>
      <w:r>
        <w:rPr>
          <w:rFonts w:eastAsia="Calibri"/>
          <w:sz w:val="24"/>
          <w:szCs w:val="24"/>
        </w:rPr>
        <w:t xml:space="preserve"> do estabelecimento até a regularização dos mesmos nos termos desta lei, caso as sanções impostas anteriormente não sanem o descumprimento;</w:t>
      </w:r>
    </w:p>
    <w:p>
      <w:pPr>
        <w:sectPr>
          <w:headerReference w:type="default" r:id="rId3"/>
          <w:type w:val="nextPage"/>
          <w:pgSz w:w="11906" w:h="16838"/>
          <w:pgMar w:left="1600" w:right="1580" w:header="798" w:top="1580" w:footer="0" w:bottom="280" w:gutter="0"/>
          <w:pgNumType w:start="2" w:fmt="decimal"/>
          <w:formProt w:val="false"/>
          <w:textDirection w:val="lrTb"/>
          <w:docGrid w:type="default" w:linePitch="240" w:charSpace="4294965247"/>
        </w:sectPr>
        <w:pStyle w:val="Corpodetexto"/>
        <w:spacing w:lineRule="auto" w:line="276" w:before="205" w:after="0"/>
        <w:ind w:left="0" w:right="121" w:firstLine="2160"/>
        <w:jc w:val="both"/>
        <w:rPr>
          <w:sz w:val="24"/>
          <w:szCs w:val="24"/>
        </w:rPr>
      </w:pPr>
      <w:r>
        <w:rPr>
          <w:sz w:val="24"/>
          <w:szCs w:val="24"/>
        </w:rPr>
        <w:t>Art. 5º Esta lei entra em vigor após decorridos 90 (noventa) dias de sua publicação oficial</w:t>
      </w:r>
      <w:r>
        <w:rPr>
          <w:b/>
          <w:sz w:val="24"/>
          <w:szCs w:val="24"/>
        </w:rPr>
        <w:t>.</w:t>
      </w:r>
    </w:p>
    <w:p>
      <w:pPr>
        <w:pStyle w:val="Standard"/>
        <w:spacing w:lineRule="auto" w:line="276"/>
        <w:ind w:left="3321" w:right="0" w:hanging="0"/>
        <w:jc w:val="left"/>
        <w:rPr>
          <w:rFonts w:cs="Times New Roman"/>
          <w:b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JUSTIFICATIVA</w:t>
      </w:r>
    </w:p>
    <w:p>
      <w:pPr>
        <w:pStyle w:val="Corpodetexto"/>
        <w:spacing w:lineRule="auto" w:line="360"/>
        <w:ind w:left="567" w:right="0" w:hanging="0"/>
        <w:jc w:val="both"/>
        <w:rPr>
          <w:b/>
          <w:b/>
          <w:sz w:val="24"/>
          <w:szCs w:val="24"/>
        </w:rPr>
      </w:pPr>
      <w:bookmarkStart w:id="1" w:name="_GoBack"/>
      <w:bookmarkStart w:id="2" w:name="_GoBack"/>
      <w:bookmarkEnd w:id="2"/>
      <w:r>
        <w:rPr>
          <w:b/>
          <w:sz w:val="24"/>
          <w:szCs w:val="24"/>
        </w:rPr>
      </w:r>
    </w:p>
    <w:p>
      <w:pPr>
        <w:pStyle w:val="Corpodetexto"/>
        <w:spacing w:lineRule="auto" w:line="360"/>
        <w:ind w:left="567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presente projeto de lei tem por objetivo acabar com os abusos que são praticados na cobrança de estacionamento e os prejuízos sofridos pelos </w:t>
      </w:r>
      <w:r>
        <w:rPr>
          <w:sz w:val="24"/>
          <w:szCs w:val="24"/>
        </w:rPr>
        <w:t>usuários consumidores</w:t>
      </w:r>
      <w:r>
        <w:rPr>
          <w:sz w:val="24"/>
          <w:szCs w:val="24"/>
        </w:rPr>
        <w:t xml:space="preserve"> no município de Vitória da Conquista.</w:t>
      </w:r>
    </w:p>
    <w:p>
      <w:pPr>
        <w:pStyle w:val="Corpodetexto"/>
        <w:spacing w:lineRule="auto" w:line="360" w:before="194" w:after="0"/>
        <w:ind w:left="567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>Sabemos que os estacionamentos particulares de nossa cidade, que ofertam vagas ao público mediante pagamento, têm desrespeitando os preceitos presentes na legislação brasileira, principalmente o Código de Defesa do Consumidor. Esses estabelecimentos cobram valor correspondente a meia hora ou uma hora mesmo quando o consumidor se utiliza do serviço por apenas alguns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minutos.</w:t>
      </w:r>
    </w:p>
    <w:p>
      <w:pPr>
        <w:pStyle w:val="Corpodetexto"/>
        <w:spacing w:lineRule="auto" w:line="360" w:before="206" w:after="0"/>
        <w:ind w:left="567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Temos o entendimento então que, adotando-se o sistema fracionado do tempo de permanência do veículo estacionado, mais usuários </w:t>
      </w:r>
      <w:r>
        <w:rPr>
          <w:sz w:val="24"/>
          <w:szCs w:val="24"/>
        </w:rPr>
        <w:t>utilizarão</w:t>
      </w:r>
      <w:r>
        <w:rPr>
          <w:sz w:val="24"/>
          <w:szCs w:val="24"/>
        </w:rPr>
        <w:t xml:space="preserve"> o serviço, aumentando a rotatividade e consequentemente o número de vagas nos estacionamentos, facilitando a vida de milhares de usuários em todo o país.</w:t>
      </w:r>
    </w:p>
    <w:p>
      <w:pPr>
        <w:pStyle w:val="Corpodetexto"/>
        <w:spacing w:lineRule="auto" w:line="360" w:before="206" w:after="0"/>
        <w:ind w:left="567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>Portanto, contamos com o apoio de nossos nobres Pares para aprovação da presente proposição.</w:t>
      </w:r>
    </w:p>
    <w:p>
      <w:pPr>
        <w:pStyle w:val="Corpodetexto"/>
        <w:spacing w:lineRule="auto" w:line="360"/>
        <w:ind w:left="567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spacing w:lineRule="auto" w:line="360" w:before="2" w:after="0"/>
        <w:ind w:left="567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Rodap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É como encaminhamos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presente </w:t>
      </w:r>
      <w:r>
        <w:rPr>
          <w:rFonts w:ascii="Times New Roman" w:hAnsi="Times New Roman"/>
        </w:rPr>
        <w:t>Projeto de Lei.</w:t>
      </w:r>
    </w:p>
    <w:p>
      <w:pPr>
        <w:pStyle w:val="Rodap"/>
        <w:jc w:val="center"/>
        <w:rPr/>
      </w:pPr>
      <w:r>
        <w:rPr/>
      </w:r>
    </w:p>
    <w:p>
      <w:pPr>
        <w:pStyle w:val="Rodap"/>
        <w:jc w:val="center"/>
        <w:rPr/>
      </w:pPr>
      <w:r>
        <w:rPr/>
      </w:r>
    </w:p>
    <w:p>
      <w:pPr>
        <w:pStyle w:val="Rodap"/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28 de Novembro de 2018.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jc w:val="right"/>
        <w:rPr/>
      </w:pPr>
      <w:r>
        <w:rPr/>
      </w:r>
    </w:p>
    <w:p>
      <w:pPr>
        <w:pStyle w:val="Rodap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i/>
          <w:iCs/>
          <w:color w:val="2A2A2A"/>
        </w:rPr>
        <w:t xml:space="preserve"> </w:t>
      </w:r>
      <w:r>
        <w:rPr>
          <w:b/>
          <w:bCs/>
          <w:color w:val="2A2A2A"/>
        </w:rPr>
        <w:t>Álvaro Pithon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  <w:lang w:eastAsia="pt-BR"/>
        </w:rPr>
        <w:t>Vereador/ DEM</w:t>
      </w:r>
    </w:p>
    <w:sectPr>
      <w:headerReference w:type="default" r:id="rId4"/>
      <w:type w:val="nextPage"/>
      <w:pgSz w:w="11906" w:h="16838"/>
      <w:pgMar w:left="1600" w:right="1580" w:header="798" w:top="158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page">
                <wp:posOffset>6144895</wp:posOffset>
              </wp:positionH>
              <wp:positionV relativeFrom="page">
                <wp:posOffset>494030</wp:posOffset>
              </wp:positionV>
              <wp:extent cx="135255" cy="184785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" cy="184785"/>
                      </a:xfrm>
                      <a:prstGeom prst="rect"/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left="4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000000" strokeweight="0pt" style="position:absolute;rotation:0;width:10.65pt;height:14.55pt;mso-wrap-distance-left:9pt;mso-wrap-distance-right:9pt;mso-wrap-distance-top:0pt;mso-wrap-distance-bottom:0pt;margin-top:38.9pt;mso-position-vertical-relative:page;margin-left:483.8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0" w:after="0"/>
                      <w:ind w:left="4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"/>
      <w:lvlJc w:val="left"/>
      <w:pPr>
        <w:ind w:left="102" w:hanging="161"/>
      </w:pPr>
      <w:rPr>
        <w:sz w:val="28"/>
        <w:szCs w:val="24"/>
        <w:w w:val="100"/>
        <w:rFonts w:eastAsia="Arial" w:cs="Arial"/>
        <w:lang w:val="pt-BR" w:eastAsia="pt-BR" w:bidi="pt-BR"/>
      </w:rPr>
    </w:lvl>
    <w:lvl w:ilvl="1">
      <w:start w:val="1"/>
      <w:numFmt w:val="bullet"/>
      <w:lvlText w:val=""/>
      <w:lvlJc w:val="left"/>
      <w:pPr>
        <w:ind w:left="962" w:hanging="161"/>
      </w:pPr>
      <w:rPr>
        <w:rFonts w:ascii="Symbol" w:hAnsi="Symbol" w:cs="Symbol" w:hint="default"/>
        <w:lang w:val="pt-BR" w:eastAsia="pt-BR" w:bidi="pt-BR"/>
      </w:rPr>
    </w:lvl>
    <w:lvl w:ilvl="2">
      <w:start w:val="1"/>
      <w:numFmt w:val="bullet"/>
      <w:lvlText w:val=""/>
      <w:lvlJc w:val="left"/>
      <w:pPr>
        <w:ind w:left="1825" w:hanging="161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ind w:left="2688" w:hanging="161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3551" w:hanging="161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4414" w:hanging="161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5277" w:hanging="161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6140" w:hanging="161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7003" w:hanging="161"/>
      </w:pPr>
      <w:rPr>
        <w:rFonts w:ascii="Symbol" w:hAnsi="Symbol" w:cs="Symbol" w:hint="default"/>
        <w:lang w:val="pt-BR" w:eastAsia="pt-BR" w:bidi="pt-BR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Arial" w:cs="Arial"/>
      <w:color w:val="auto"/>
      <w:sz w:val="22"/>
      <w:szCs w:val="22"/>
      <w:lang w:val="pt-BR" w:eastAsia="pt-BR" w:bidi="pt-BR"/>
    </w:rPr>
  </w:style>
  <w:style w:type="paragraph" w:styleId="Ttulo1">
    <w:name w:val="Heading 1"/>
    <w:basedOn w:val="Normal"/>
    <w:qFormat/>
    <w:pPr>
      <w:numPr>
        <w:ilvl w:val="0"/>
        <w:numId w:val="0"/>
      </w:numPr>
      <w:spacing w:before="91" w:after="0"/>
      <w:ind w:left="2149" w:right="0" w:hanging="0"/>
      <w:outlineLvl w:val="0"/>
    </w:pPr>
    <w:rPr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RecuodecorpodetextoChar">
    <w:name w:val="Recuo de corpo de texto Char"/>
    <w:basedOn w:val="DefaultParagraphFont"/>
    <w:qFormat/>
    <w:rPr>
      <w:rFonts w:ascii="Arial" w:hAnsi="Arial" w:eastAsia="Arial" w:cs="Arial"/>
      <w:lang w:val="pt-BR" w:eastAsia="pt-BR" w:bidi="pt-BR"/>
    </w:rPr>
  </w:style>
  <w:style w:type="character" w:styleId="ListLabel1">
    <w:name w:val="ListLabel 1"/>
    <w:qFormat/>
    <w:rPr>
      <w:rFonts w:eastAsia="Arial" w:cs="Arial"/>
      <w:w w:val="100"/>
      <w:sz w:val="28"/>
      <w:szCs w:val="24"/>
      <w:lang w:val="pt-BR" w:eastAsia="pt-BR" w:bidi="pt-BR"/>
    </w:rPr>
  </w:style>
  <w:style w:type="character" w:styleId="ListLabel2">
    <w:name w:val="ListLabel 2"/>
    <w:qFormat/>
    <w:rPr>
      <w:lang w:val="pt-BR" w:eastAsia="pt-BR" w:bidi="pt-BR"/>
    </w:rPr>
  </w:style>
  <w:style w:type="character" w:styleId="ListLabel3">
    <w:name w:val="ListLabel 3"/>
    <w:qFormat/>
    <w:rPr>
      <w:lang w:val="pt-BR" w:eastAsia="pt-BR" w:bidi="pt-BR"/>
    </w:rPr>
  </w:style>
  <w:style w:type="character" w:styleId="ListLabel4">
    <w:name w:val="ListLabel 4"/>
    <w:qFormat/>
    <w:rPr>
      <w:lang w:val="pt-BR" w:eastAsia="pt-BR" w:bidi="pt-BR"/>
    </w:rPr>
  </w:style>
  <w:style w:type="character" w:styleId="ListLabel5">
    <w:name w:val="ListLabel 5"/>
    <w:qFormat/>
    <w:rPr>
      <w:lang w:val="pt-BR" w:eastAsia="pt-BR" w:bidi="pt-BR"/>
    </w:rPr>
  </w:style>
  <w:style w:type="character" w:styleId="ListLabel6">
    <w:name w:val="ListLabel 6"/>
    <w:qFormat/>
    <w:rPr>
      <w:lang w:val="pt-BR" w:eastAsia="pt-BR" w:bidi="pt-BR"/>
    </w:rPr>
  </w:style>
  <w:style w:type="character" w:styleId="ListLabel7">
    <w:name w:val="ListLabel 7"/>
    <w:qFormat/>
    <w:rPr>
      <w:lang w:val="pt-BR" w:eastAsia="pt-BR" w:bidi="pt-BR"/>
    </w:rPr>
  </w:style>
  <w:style w:type="character" w:styleId="ListLabel8">
    <w:name w:val="ListLabel 8"/>
    <w:qFormat/>
    <w:rPr>
      <w:lang w:val="pt-BR" w:eastAsia="pt-BR" w:bidi="pt-BR"/>
    </w:rPr>
  </w:style>
  <w:style w:type="character" w:styleId="ListLabel9">
    <w:name w:val="ListLabel 9"/>
    <w:qFormat/>
    <w:rPr>
      <w:lang w:val="pt-BR" w:eastAsia="pt-BR" w:bidi="pt-B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/>
    <w:rPr>
      <w:sz w:val="24"/>
      <w:szCs w:val="24"/>
    </w:rPr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spacing w:before="203" w:after="0"/>
      <w:ind w:left="102" w:right="124" w:firstLine="2302"/>
      <w:jc w:val="both"/>
    </w:pPr>
    <w:rPr/>
  </w:style>
  <w:style w:type="paragraph" w:styleId="TableParagraph">
    <w:name w:val="Table Paragraph"/>
    <w:basedOn w:val="Normal"/>
    <w:qFormat/>
    <w:pPr/>
    <w:rPr/>
  </w:style>
  <w:style w:type="paragraph" w:styleId="Corpodetextorecuado">
    <w:name w:val="Body Text Indent"/>
    <w:basedOn w:val="Normal"/>
    <w:pPr>
      <w:spacing w:before="0" w:after="120"/>
      <w:ind w:left="283" w:right="0" w:hanging="0"/>
    </w:pPr>
    <w:rPr/>
  </w:style>
  <w:style w:type="paragraph" w:styleId="Cabealho">
    <w:name w:val="Header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oto Sans CJK SC Regular" w:cs="FreeSans"/>
      <w:color w:val="00000A"/>
      <w:sz w:val="24"/>
      <w:szCs w:val="24"/>
      <w:lang w:val="pt-BR" w:eastAsia="zh-CN" w:bidi="hi-IN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LibreOffice/5.1.6.2$Linux_x86 LibreOffice_project/10m0$Build-2</Application>
  <Pages>4</Pages>
  <Words>658</Words>
  <Characters>3582</Characters>
  <CharactersWithSpaces>4216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2018-11-21T10:59:00Z</dcterms:created>
  <dc:creator>P_3515</dc:creator>
  <dc:description/>
  <dc:language>pt-BR</dc:language>
  <cp:lastModifiedBy/>
  <dcterms:modified xsi:type="dcterms:W3CDTF">2018-11-25T20:07:14Z</dcterms:modified>
  <cp:revision>6</cp:revision>
  <dc:subject>Projeto de Lei</dc:subject>
  <dc:title>PROJETO DE LEI Nº      , DE 199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2015-04-24T00:00:00Z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2018-11-21T00:00:00Z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