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30 de 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36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Manoel Carlos de Sá Roriz Vargas Marques,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G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erente da Embasa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 </w:t>
      </w:r>
      <w:r>
        <w:rPr>
          <w:rFonts w:ascii="Times New Roman" w:hAnsi="Times New Roman"/>
        </w:rPr>
        <w:t>aprovada nos termos regimentais vigente em sessão ordinária realizada pela câmara Municipal. Ante o exposto, solicito o atendimento das referidas proposições e a devida resposta a Ilustre Vereadora.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1664/2023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LibreOffice/6.0.7.3$Linux_X86_64 LibreOffice_project/00m0$Build-3</Application>
  <Pages>1</Pages>
  <Words>78</Words>
  <Characters>436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2023-10-30T10:35:24Z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