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junho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230/2023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Marcelo Werner, </w:t>
      </w:r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Secretário de Segurança Pública do Estado da Bahia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 seguinte</w:t>
      </w:r>
      <w:r>
        <w:rPr>
          <w:rFonts w:ascii="Times New Roman" w:hAnsi="Times New Roman"/>
          <w:b/>
          <w:bCs/>
        </w:rPr>
        <w:t xml:space="preserve"> indicação</w:t>
      </w:r>
      <w:r>
        <w:rPr>
          <w:rFonts w:ascii="Times New Roman" w:hAnsi="Times New Roman"/>
        </w:rPr>
        <w:t xml:space="preserve"> aprovada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  <w:sz w:val="22"/>
          <w:szCs w:val="22"/>
          <w:lang w:val="pt-BR" w:eastAsia="en-US" w:bidi="ar-SA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  <w:sz w:val="22"/>
          <w:szCs w:val="22"/>
          <w:lang w:val="pt-BR" w:eastAsia="en-US" w:bidi="ar-SA"/>
        </w:rPr>
        <w:t xml:space="preserve">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 (MDB): 1042/2023</w:t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2296795</wp:posOffset>
            </wp:positionH>
            <wp:positionV relativeFrom="paragraph">
              <wp:posOffset>90170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LibreOffice/6.0.7.3$Linux_X86_64 LibreOffice_project/00m0$Build-3</Application>
  <Pages>1</Pages>
  <Words>77</Words>
  <Characters>449</Characters>
  <CharactersWithSpaces>519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2023-06-27T09:31:35Z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