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Vitória da Conquista,  08 de maio de 2023.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15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>/2023 SECGERAL/CMVC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 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Luís Alberto Sellman,</w:t>
      </w:r>
      <w:bookmarkStart w:id="0" w:name="__DdeLink__36_1526247297"/>
    </w:p>
    <w:p>
      <w:pPr>
        <w:pStyle w:val="Normal"/>
        <w:jc w:val="both"/>
        <w:rPr/>
      </w:pPr>
      <w:bookmarkEnd w:id="0"/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>G</w:t>
      </w: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>erente regional da Companhia de Engenharia hídrica e Saneamento da Bahia – CERB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Luciano Gomes Lisboa(PCdoB):  688/2023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1b035b"/>
    <w:rPr>
      <w:sz w:val="22"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Application>LibreOffice/6.0.7.3$Linux_X86_64 LibreOffice_project/00m0$Build-3</Application>
  <Pages>1</Pages>
  <Words>80</Words>
  <Characters>475</Characters>
  <CharactersWithSpaces>549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2021-05-21T19:34:00Z</dcterms:created>
  <dc:creator>usuario</dc:creator>
  <dc:description/>
  <dc:language>pt-PT</dc:language>
  <cp:lastModifiedBy/>
  <cp:lastPrinted>2021-02-09T13:29:00Z</cp:lastPrinted>
  <dcterms:modified xsi:type="dcterms:W3CDTF">2023-05-08T10:40:55Z</dcterms:modified>
  <cp:revision>101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