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 16 de março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66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319/2023, </w:t>
      </w:r>
      <w:r>
        <w:rPr>
          <w:rFonts w:eastAsia="Calibri" w:cs="Calibri" w:ascii="Times New Roman" w:hAnsi="Times New Roman"/>
        </w:rPr>
        <w:t>352/2023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361/2023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Antônio Ricardo Pereira dos Santos (PCdoB): 306/2023, 307/2023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295/2023, 296/2023, 297/2023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292/2023, 293/2023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276/2023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LibreOffice/6.0.7.3$Linux_X86_64 LibreOffice_project/00m0$Build-3</Application>
  <Pages>1</Pages>
  <Words>137</Words>
  <Characters>799</Characters>
  <CharactersWithSpaces>924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2023-03-14T11:17:03Z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