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de dezembro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70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Secretario de Infraestrutura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Edjaime Rosa de Carvalho (MDB): </w:t>
      </w:r>
      <w:r>
        <w:rPr>
          <w:rFonts w:eastAsia="Calibri" w:cs="Calibri" w:ascii="Times New Roman" w:hAnsi="Times New Roman"/>
        </w:rPr>
        <w:t>2239/2021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2228/2021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2265/2021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Maria Lúcia Santos Rocha(MDB): </w:t>
      </w:r>
      <w:r>
        <w:rPr>
          <w:rFonts w:eastAsia="Calibri" w:cs="Calibri" w:ascii="Times New Roman" w:hAnsi="Times New Roman"/>
        </w:rPr>
        <w:t>2261/2021, 2263/2021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2259/2021, 2280/2021, 2281/2021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Orlando de Oliveira Santos Filho (PRTB): </w:t>
      </w:r>
      <w:r>
        <w:rPr>
          <w:rFonts w:eastAsia="Calibri" w:cs="Calibri" w:ascii="Times New Roman" w:hAnsi="Times New Roman"/>
        </w:rPr>
        <w:t>2243/2021, 2244/2021, 2272/2021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LibreOffice/5.1.6.2$Linux_x86 LibreOffice_project/10m0$Build-2</Application>
  <Pages>1</Pages>
  <Words>137</Words>
  <Characters>805</Characters>
  <CharactersWithSpaces>931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2021-12-13T08:25:49Z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