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 15 de março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>OF. Nº</w:t>
      </w:r>
      <w:r>
        <w:rPr>
          <w:rFonts w:ascii="Times new roman" w:hAnsi="Times new roman"/>
          <w:b/>
          <w:bCs/>
          <w:sz w:val="22"/>
          <w:szCs w:val="22"/>
        </w:rPr>
        <w:t>98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José Antônio de Jesus Vieira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Secretário Municipal de Infraestrutura Urbana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jc w:val="left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Alexandre Garcia Araújo (PT): 381/2021</w:t>
      </w:r>
    </w:p>
    <w:p>
      <w:pPr>
        <w:pStyle w:val="Corpodotexto"/>
        <w:jc w:val="left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Francisco Estrela Dantas Filho(PTC): 368/2021 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Orlando de Oliveira Santos Filho(PRTB): 374/2021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LibreOffice/6.1.4.2$Windows_X86_64 LibreOffice_project/9d0f32d1f0b509096fd65e0d4bec26ddd1938fd3</Application>
  <Pages>1</Pages>
  <Words>97</Words>
  <Characters>577</Characters>
  <CharactersWithSpaces>665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2021-02-09T13:29:47Z</cp:lastPrinted>
  <dcterms:modified xsi:type="dcterms:W3CDTF">2021-03-16T11:18:46Z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